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tbl>
      <w:tblPr>
        <w:tblW w:type="auto" w:w="0"/>
        <w:jc w:val="left"/>
        <w:tblLook w:firstColumn="1" w:firstRow="1" w:lastColumn="0" w:lastRow="0" w:noHBand="0" w:noVBand="1" w:val="04A0"/>
      </w:tblPr>
      <w:tblGrid>
        <w:gridCol w:w="10037"/>
      </w:tblGrid>
      <w:tr>
        <w:tc>
          <w:tcPr>
            <w:tcW w:type="dxa" w:w="10037"/>
            <w:shd w:fill="183A5A"/>
            <w:tcMar>
              <w:top w:w="70" w:type="dxa"/>
              <w:start w:w="100" w:type="dxa"/>
              <w:bottom w:w="70" w:type="dxa"/>
              <w:end w:w="100" w:type="dxa"/>
            </w:tcMar>
            <w:tcBorders>
              <w:top w:val="single" w:sz="4" w:color="183A5A"/>
              <w:left w:val="single" w:sz="4" w:color="183A5A"/>
              <w:bottom w:val="single" w:sz="4" w:color="183A5A"/>
              <w:right w:val="single" w:sz="4" w:color="183A5A"/>
            </w:tcBorders>
          </w:tcPr>
          <w:p>
            <w:pPr>
              <w:spacing w:before="0" w:after="0" w:line="240" w:lineRule="auto"/>
              <w:jc w:val="left"/>
            </w:pPr>
            <w:r>
              <w:rPr>
                <w:rFonts w:ascii="Arial" w:hAnsi="Arial" w:eastAsia="Arial"/>
                <w:b/>
                <w:i w:val="0"/>
                <w:color w:val="FFFFFF"/>
                <w:sz w:val="17"/>
              </w:rPr>
              <w:t>CAMBRIDGE OCR A LEVEL SOCIOLOGY | COMPONENT 02 | SECTION B</w:t>
            </w:r>
          </w:p>
        </w:tc>
      </w:tr>
    </w:tbl>
    <w:p>
      <w:pPr>
        <w:spacing w:before="440" w:after="0" w:line="240" w:lineRule="auto"/>
      </w:pPr>
      <w:r>
        <w:rPr>
          <w:rFonts w:ascii="Arial" w:hAnsi="Arial" w:eastAsia="Arial"/>
          <w:b/>
          <w:i w:val="0"/>
          <w:color w:val="183A5A"/>
          <w:sz w:val="60"/>
        </w:rPr>
        <w:t>Wealth, Inheritance</w:t>
        <w:br/>
        <w:t>and Life Chances</w:t>
      </w:r>
    </w:p>
    <w:p>
      <w:pPr>
        <w:spacing w:before="100" w:after="280" w:line="264" w:lineRule="auto"/>
      </w:pPr>
      <w:r>
        <w:rPr>
          <w:rFonts w:ascii="Arial" w:hAnsi="Arial" w:eastAsia="Arial"/>
          <w:b/>
          <w:i w:val="0"/>
          <w:color w:val="2D7D7B"/>
          <w:sz w:val="26"/>
        </w:rPr>
        <w:t>A classroom investigation using Mullineux and Rowlingson (2013)</w:t>
      </w:r>
    </w:p>
    <w:tbl>
      <w:tblPr>
        <w:tblW w:type="auto" w:w="0"/>
        <w:jc w:val="center"/>
        <w:tblLook w:firstColumn="1" w:firstRow="1" w:lastColumn="0" w:lastRow="0" w:noHBand="0" w:noVBand="1" w:val="04A0"/>
      </w:tblPr>
      <w:tblGrid>
        <w:gridCol w:w="10037"/>
      </w:tblGrid>
      <w:tr>
        <w:tc>
          <w:tcPr>
            <w:tcW w:type="dxa" w:w="10037"/>
            <w:shd w:fill="FFF4D6"/>
            <w:tcMar>
              <w:top w:w="120" w:type="dxa"/>
              <w:start w:w="140" w:type="dxa"/>
              <w:bottom w:w="120" w:type="dxa"/>
              <w:end w:w="140" w:type="dxa"/>
            </w:tcMar>
            <w:tcBorders>
              <w:top w:val="single" w:sz="10" w:color="DDAE4A"/>
              <w:left w:val="single" w:sz="10" w:color="DDAE4A"/>
              <w:bottom w:val="single" w:sz="10" w:color="DDAE4A"/>
              <w:right w:val="single" w:sz="10" w:color="DDAE4A"/>
            </w:tcBorders>
          </w:tcPr>
          <w:p>
            <w:pPr>
              <w:spacing w:before="0" w:after="80" w:line="259" w:lineRule="auto"/>
            </w:pPr>
            <w:r>
              <w:rPr>
                <w:rFonts w:ascii="Arial" w:hAnsi="Arial" w:eastAsia="Arial"/>
                <w:b/>
                <w:i w:val="0"/>
                <w:color w:val="DDAE4A"/>
                <w:sz w:val="21"/>
              </w:rPr>
              <w:t>The big question</w:t>
            </w:r>
          </w:p>
          <w:p>
            <w:pPr>
              <w:spacing w:before="0" w:after="40" w:line="259" w:lineRule="auto"/>
            </w:pPr>
            <w:r>
              <w:rPr>
                <w:rFonts w:ascii="Arial" w:hAnsi="Arial" w:eastAsia="Arial"/>
                <w:b w:val="0"/>
                <w:i w:val="0"/>
                <w:color w:val="1D2A35"/>
                <w:sz w:val="19"/>
              </w:rPr>
              <w:t>How does unequal ownership of wealth help to reproduce social class inequality?</w:t>
            </w:r>
          </w:p>
          <w:p>
            <w:pPr>
              <w:spacing w:before="0" w:after="40" w:line="259" w:lineRule="auto"/>
            </w:pPr>
            <w:r>
              <w:rPr>
                <w:rFonts w:ascii="Arial" w:hAnsi="Arial" w:eastAsia="Arial"/>
                <w:b/>
                <w:i w:val="0"/>
                <w:color w:val="1D2A35"/>
                <w:sz w:val="19"/>
              </w:rPr>
              <w:t xml:space="preserve">Your challenge: </w:t>
            </w:r>
            <w:r>
              <w:rPr>
                <w:rFonts w:ascii="Arial" w:hAnsi="Arial" w:eastAsia="Arial"/>
                <w:b w:val="0"/>
                <w:i w:val="0"/>
                <w:color w:val="1D2A35"/>
                <w:sz w:val="19"/>
              </w:rPr>
              <w:t>Use evidence, theory and evaluation to reach a reasoned judgement.</w:t>
            </w:r>
          </w:p>
        </w:tc>
      </w:tr>
    </w:tbl>
    <w:p/>
    <w:tbl>
      <w:tblPr>
        <w:tblW w:type="auto" w:w="0"/>
        <w:jc w:val="center"/>
        <w:tblLook w:firstColumn="1" w:firstRow="1" w:lastColumn="0" w:lastRow="0" w:noHBand="0" w:noVBand="1" w:val="04A0"/>
      </w:tblPr>
      <w:tblGrid>
        <w:gridCol w:w="5018"/>
        <w:gridCol w:w="5018"/>
      </w:tblGrid>
      <w:tr>
        <w:tc>
          <w:tcPr>
            <w:tcW w:type="dxa" w:w="5018"/>
            <w:shd w:fill="EAF5F3"/>
            <w:tcMar>
              <w:top w:w="160" w:type="dxa"/>
              <w:start w:w="140" w:type="dxa"/>
              <w:bottom w:w="160" w:type="dxa"/>
              <w:end w:w="140" w:type="dxa"/>
            </w:tcMar>
            <w:tcBorders>
              <w:top w:val="single" w:sz="8" w:color="2D7D7B"/>
              <w:left w:val="single" w:sz="8" w:color="2D7D7B"/>
              <w:bottom w:val="single" w:sz="8" w:color="2D7D7B"/>
              <w:right w:val="single" w:sz="8" w:color="2D7D7B"/>
            </w:tcBorders>
            <w:vAlign w:val="top"/>
          </w:tcPr>
          <w:p>
            <w:pPr>
              <w:spacing w:before="0" w:after="0" w:line="252" w:lineRule="auto"/>
              <w:jc w:val="left"/>
            </w:pPr>
            <w:r>
              <w:rPr>
                <w:rFonts w:ascii="Arial" w:hAnsi="Arial" w:eastAsia="Arial"/>
                <w:b/>
                <w:i w:val="0"/>
                <w:color w:val="2D7D7B"/>
                <w:sz w:val="20"/>
              </w:rPr>
              <w:t>Length</w:t>
            </w:r>
          </w:p>
          <w:p>
            <w:pPr>
              <w:spacing w:before="0" w:after="0" w:line="259" w:lineRule="auto"/>
            </w:pPr>
            <w:r>
              <w:rPr>
                <w:rFonts w:ascii="Arial" w:hAnsi="Arial" w:eastAsia="Arial"/>
                <w:b/>
                <w:i w:val="0"/>
                <w:color w:val="183A5A"/>
                <w:sz w:val="30"/>
              </w:rPr>
              <w:t>45-60 minutes</w:t>
            </w:r>
          </w:p>
        </w:tc>
        <w:tc>
          <w:tcPr>
            <w:tcW w:type="dxa" w:w="5018"/>
            <w:shd w:fill="EAF5F3"/>
            <w:tcMar>
              <w:top w:w="160" w:type="dxa"/>
              <w:start w:w="140" w:type="dxa"/>
              <w:bottom w:w="160" w:type="dxa"/>
              <w:end w:w="140" w:type="dxa"/>
            </w:tcMar>
            <w:tcBorders>
              <w:top w:val="single" w:sz="8" w:color="2D7D7B"/>
              <w:left w:val="single" w:sz="8" w:color="2D7D7B"/>
              <w:bottom w:val="single" w:sz="8" w:color="2D7D7B"/>
              <w:right w:val="single" w:sz="8" w:color="2D7D7B"/>
            </w:tcBorders>
            <w:vAlign w:val="top"/>
          </w:tcPr>
          <w:p>
            <w:pPr>
              <w:spacing w:before="0" w:after="0" w:line="252" w:lineRule="auto"/>
              <w:jc w:val="left"/>
            </w:pPr>
            <w:r>
              <w:rPr>
                <w:rFonts w:ascii="Arial" w:hAnsi="Arial" w:eastAsia="Arial"/>
                <w:b/>
                <w:i w:val="0"/>
                <w:color w:val="2D7D7B"/>
                <w:sz w:val="20"/>
              </w:rPr>
              <w:t>Assessment objectives</w:t>
            </w:r>
          </w:p>
          <w:p>
            <w:pPr>
              <w:spacing w:before="0" w:after="0" w:line="259" w:lineRule="auto"/>
            </w:pPr>
            <w:r>
              <w:rPr>
                <w:rFonts w:ascii="Arial" w:hAnsi="Arial" w:eastAsia="Arial"/>
                <w:b/>
                <w:i w:val="0"/>
                <w:color w:val="183A5A"/>
                <w:sz w:val="30"/>
              </w:rPr>
              <w:t>AO1  •  AO2  •  AO3</w:t>
            </w:r>
          </w:p>
        </w:tc>
      </w:tr>
    </w:tbl>
    <w:p/>
    <w:p>
      <w:pPr>
        <w:spacing w:before="280" w:after="80" w:line="264" w:lineRule="auto"/>
      </w:pPr>
      <w:r>
        <w:rPr>
          <w:rFonts w:ascii="Arial" w:hAnsi="Arial" w:eastAsia="Arial"/>
          <w:b/>
          <w:i w:val="0"/>
          <w:color w:val="183A5A"/>
          <w:sz w:val="22"/>
        </w:rPr>
        <w:t>This lesson pack includes:</w:t>
      </w:r>
    </w:p>
    <w:p>
      <w:pPr>
        <w:pStyle w:val="ListBullet"/>
        <w:spacing w:before="0" w:after="40" w:line="252" w:lineRule="auto"/>
      </w:pPr>
      <w:r>
        <w:rPr>
          <w:rFonts w:ascii="Arial" w:hAnsi="Arial" w:eastAsia="Arial"/>
          <w:b w:val="0"/>
          <w:i w:val="0"/>
          <w:color w:val="1D2A35"/>
          <w:sz w:val="20"/>
        </w:rPr>
        <w:t>Teacher guidance and a suggested lesson sequence</w:t>
      </w:r>
    </w:p>
    <w:p>
      <w:pPr>
        <w:pStyle w:val="ListBullet"/>
        <w:spacing w:before="0" w:after="40" w:line="252" w:lineRule="auto"/>
      </w:pPr>
      <w:r>
        <w:rPr>
          <w:rFonts w:ascii="Arial" w:hAnsi="Arial" w:eastAsia="Arial"/>
          <w:b w:val="0"/>
          <w:i w:val="0"/>
          <w:color w:val="1D2A35"/>
          <w:sz w:val="20"/>
        </w:rPr>
        <w:t>A student worksheet with a wealth-to-life-chances pathway task</w:t>
      </w:r>
    </w:p>
    <w:p>
      <w:pPr>
        <w:pStyle w:val="ListBullet"/>
        <w:spacing w:before="0" w:after="40" w:line="252" w:lineRule="auto"/>
      </w:pPr>
      <w:r>
        <w:rPr>
          <w:rFonts w:ascii="Arial" w:hAnsi="Arial" w:eastAsia="Arial"/>
          <w:b w:val="0"/>
          <w:i w:val="0"/>
          <w:color w:val="1D2A35"/>
          <w:sz w:val="20"/>
        </w:rPr>
        <w:t>Sixteen printable evidence cards drawn from the 2013 report</w:t>
      </w:r>
    </w:p>
    <w:p>
      <w:pPr>
        <w:pStyle w:val="ListBullet"/>
        <w:spacing w:before="0" w:after="40" w:line="252" w:lineRule="auto"/>
      </w:pPr>
      <w:r>
        <w:rPr>
          <w:rFonts w:ascii="Arial" w:hAnsi="Arial" w:eastAsia="Arial"/>
          <w:b w:val="0"/>
          <w:i w:val="0"/>
          <w:color w:val="1D2A35"/>
          <w:sz w:val="20"/>
        </w:rPr>
        <w:t>Weberian, Marxist and New Right theory tasks</w:t>
      </w:r>
    </w:p>
    <w:p>
      <w:pPr>
        <w:pStyle w:val="ListBullet"/>
        <w:spacing w:before="0" w:after="40" w:line="252" w:lineRule="auto"/>
      </w:pPr>
      <w:r>
        <w:rPr>
          <w:rFonts w:ascii="Arial" w:hAnsi="Arial" w:eastAsia="Arial"/>
          <w:b w:val="0"/>
          <w:i w:val="0"/>
          <w:color w:val="1D2A35"/>
          <w:sz w:val="20"/>
        </w:rPr>
        <w:t>An OCR-style writing challenge, model ideas and an answer guide</w:t>
      </w:r>
    </w:p>
    <w:p>
      <w:pPr>
        <w:spacing w:before="280" w:after="0" w:line="259" w:lineRule="auto"/>
      </w:pPr>
      <w:r>
        <w:rPr>
          <w:rFonts w:ascii="Arial" w:hAnsi="Arial" w:eastAsia="Arial"/>
          <w:b/>
          <w:i w:val="0"/>
          <w:color w:val="183A5A"/>
          <w:sz w:val="19"/>
        </w:rPr>
        <w:t xml:space="preserve">Source report: </w:t>
      </w:r>
      <w:hyperlink r:id="rId10">
        <w:r>
          <w:rPr>
            <w:color w:val="2D7D7B"/>
            <w:u w:val="single"/>
          </w:rPr>
          <w:t>Mullineux, A. and Rowlingson, K. (2013), Sharing Our Good Fortune: Understanding and Responding to Wealth Inequalities (University of Birmingham PDF)</w:t>
        </w:r>
      </w:hyperlink>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TEACHER PAGES</w:t>
            </w:r>
          </w:p>
        </w:tc>
      </w:tr>
    </w:tbl>
    <w:p>
      <w:pPr>
        <w:spacing w:before="200" w:after="80" w:line="240" w:lineRule="auto"/>
      </w:pPr>
      <w:r>
        <w:rPr>
          <w:rFonts w:ascii="Arial" w:hAnsi="Arial" w:eastAsia="Arial"/>
          <w:b/>
          <w:i w:val="0"/>
          <w:color w:val="183A5A"/>
          <w:sz w:val="50"/>
        </w:rPr>
        <w:t>Lesson overview</w:t>
      </w:r>
    </w:p>
    <w:p>
      <w:pPr>
        <w:spacing w:before="0" w:after="160" w:line="259" w:lineRule="auto"/>
      </w:pPr>
      <w:r>
        <w:rPr>
          <w:rFonts w:ascii="Arial" w:hAnsi="Arial" w:eastAsia="Arial"/>
          <w:b w:val="0"/>
          <w:i w:val="0"/>
          <w:color w:val="53606B"/>
          <w:sz w:val="22"/>
        </w:rPr>
        <w:t>A source-led activity for analysing how wealth shapes social class inequality.</w:t>
      </w:r>
    </w:p>
    <w:p>
      <w:pPr>
        <w:pStyle w:val="Heading1"/>
        <w:spacing w:before="200" w:after="80" w:line="240" w:lineRule="auto"/>
        <w:jc w:val="left"/>
      </w:pPr>
      <w:r>
        <w:rPr>
          <w:rFonts w:ascii="Arial" w:hAnsi="Arial" w:eastAsia="Arial"/>
          <w:b/>
          <w:color w:val="183A5A"/>
          <w:sz w:val="30"/>
        </w:rPr>
        <w:t>Learning objectives</w:t>
      </w:r>
    </w:p>
    <w:p>
      <w:pPr>
        <w:pStyle w:val="ListBullet"/>
        <w:spacing w:before="0" w:after="40" w:line="252" w:lineRule="auto"/>
      </w:pPr>
      <w:r>
        <w:rPr>
          <w:rFonts w:ascii="Arial" w:hAnsi="Arial" w:eastAsia="Arial"/>
          <w:b w:val="0"/>
          <w:i w:val="0"/>
          <w:color w:val="1D2A35"/>
          <w:sz w:val="20"/>
        </w:rPr>
        <w:t>Define wealth and distinguish it from income.</w:t>
      </w:r>
    </w:p>
    <w:p>
      <w:pPr>
        <w:pStyle w:val="ListBullet"/>
        <w:spacing w:before="0" w:after="40" w:line="252" w:lineRule="auto"/>
      </w:pPr>
      <w:r>
        <w:rPr>
          <w:rFonts w:ascii="Arial" w:hAnsi="Arial" w:eastAsia="Arial"/>
          <w:b w:val="0"/>
          <w:i w:val="0"/>
          <w:color w:val="1D2A35"/>
          <w:sz w:val="20"/>
        </w:rPr>
        <w:t>Explain how wealth affects life chances in housing, education, employment and health.</w:t>
      </w:r>
    </w:p>
    <w:p>
      <w:pPr>
        <w:pStyle w:val="ListBullet"/>
        <w:spacing w:before="0" w:after="40" w:line="252" w:lineRule="auto"/>
      </w:pPr>
      <w:r>
        <w:rPr>
          <w:rFonts w:ascii="Arial" w:hAnsi="Arial" w:eastAsia="Arial"/>
          <w:b w:val="0"/>
          <w:i w:val="0"/>
          <w:color w:val="1D2A35"/>
          <w:sz w:val="20"/>
        </w:rPr>
        <w:t>Apply Weberian and Marxist explanations to wealth inequality.</w:t>
      </w:r>
    </w:p>
    <w:p>
      <w:pPr>
        <w:pStyle w:val="ListBullet"/>
        <w:spacing w:before="0" w:after="40" w:line="252" w:lineRule="auto"/>
      </w:pPr>
      <w:r>
        <w:rPr>
          <w:rFonts w:ascii="Arial" w:hAnsi="Arial" w:eastAsia="Arial"/>
          <w:b w:val="0"/>
          <w:i w:val="0"/>
          <w:color w:val="1D2A35"/>
          <w:sz w:val="20"/>
        </w:rPr>
        <w:t>Evaluate whether wealth inequality challenges the idea that society is meritocratic.</w:t>
      </w:r>
    </w:p>
    <w:p>
      <w:pPr>
        <w:pStyle w:val="ListBullet"/>
        <w:spacing w:before="0" w:after="40" w:line="252" w:lineRule="auto"/>
      </w:pPr>
      <w:r>
        <w:rPr>
          <w:rFonts w:ascii="Arial" w:hAnsi="Arial" w:eastAsia="Arial"/>
          <w:b w:val="0"/>
          <w:i w:val="0"/>
          <w:color w:val="1D2A35"/>
          <w:sz w:val="20"/>
        </w:rPr>
        <w:t>Use Mullineux and Rowlingson (2013) as evidence in an OCR-style response.</w:t>
      </w:r>
    </w:p>
    <w:p>
      <w:pPr>
        <w:pStyle w:val="Heading1"/>
        <w:spacing w:before="200" w:after="80" w:line="240" w:lineRule="auto"/>
        <w:jc w:val="left"/>
      </w:pPr>
      <w:r>
        <w:rPr>
          <w:rFonts w:ascii="Arial" w:hAnsi="Arial" w:eastAsia="Arial"/>
          <w:b/>
          <w:color w:val="183A5A"/>
          <w:sz w:val="30"/>
        </w:rPr>
        <w:t>Preparation</w:t>
      </w:r>
    </w:p>
    <w:p>
      <w:pPr>
        <w:pStyle w:val="ListBullet"/>
        <w:spacing w:before="0" w:after="40" w:line="252" w:lineRule="auto"/>
      </w:pPr>
      <w:r>
        <w:rPr>
          <w:rFonts w:ascii="Arial" w:hAnsi="Arial" w:eastAsia="Arial"/>
          <w:b w:val="0"/>
          <w:i w:val="0"/>
          <w:color w:val="1D2A35"/>
          <w:sz w:val="20"/>
        </w:rPr>
        <w:t>Print pages 4-5 single-sided and cut out the sixteen evidence cards. Alternatively, project the cards and allocate one set per group.</w:t>
      </w:r>
    </w:p>
    <w:p>
      <w:pPr>
        <w:pStyle w:val="ListBullet"/>
        <w:spacing w:before="0" w:after="40" w:line="252" w:lineRule="auto"/>
      </w:pPr>
      <w:r>
        <w:rPr>
          <w:rFonts w:ascii="Arial" w:hAnsi="Arial" w:eastAsia="Arial"/>
          <w:b w:val="0"/>
          <w:i w:val="0"/>
          <w:color w:val="1D2A35"/>
          <w:sz w:val="20"/>
        </w:rPr>
        <w:t>Provide students with pages 3-9. The activity works best in pairs or groups of three.</w:t>
      </w:r>
    </w:p>
    <w:p>
      <w:pPr>
        <w:pStyle w:val="ListBullet"/>
        <w:spacing w:before="0" w:after="40" w:line="252" w:lineRule="auto"/>
      </w:pPr>
      <w:r>
        <w:rPr>
          <w:rFonts w:ascii="Arial" w:hAnsi="Arial" w:eastAsia="Arial"/>
          <w:b w:val="0"/>
          <w:i w:val="0"/>
          <w:color w:val="1D2A35"/>
          <w:sz w:val="20"/>
        </w:rPr>
        <w:t>For extension, give students the full report or its executive summary and ask them to find one additional supporting detail.</w:t>
      </w:r>
    </w:p>
    <w:p>
      <w:pPr>
        <w:pStyle w:val="ListBullet"/>
        <w:spacing w:before="0" w:after="40" w:line="252" w:lineRule="auto"/>
      </w:pPr>
      <w:r>
        <w:rPr>
          <w:rFonts w:ascii="Arial" w:hAnsi="Arial" w:eastAsia="Arial"/>
          <w:b w:val="0"/>
          <w:i w:val="0"/>
          <w:color w:val="1D2A35"/>
          <w:sz w:val="20"/>
        </w:rPr>
        <w:t>Keep the final answer guide pages for teacher use, or issue them after peer assessment.</w:t>
      </w:r>
    </w:p>
    <w:p>
      <w:pPr>
        <w:pStyle w:val="Heading1"/>
        <w:spacing w:before="200" w:after="80" w:line="240" w:lineRule="auto"/>
        <w:jc w:val="left"/>
      </w:pPr>
      <w:r>
        <w:rPr>
          <w:rFonts w:ascii="Arial" w:hAnsi="Arial" w:eastAsia="Arial"/>
          <w:b/>
          <w:color w:val="183A5A"/>
          <w:sz w:val="30"/>
        </w:rPr>
        <w:t>What students need to know</w:t>
      </w:r>
    </w:p>
    <w:tbl>
      <w:tblPr>
        <w:tblW w:type="auto" w:w="0"/>
        <w:jc w:val="center"/>
        <w:tblLook w:firstColumn="1" w:firstRow="1" w:lastColumn="0" w:lastRow="0" w:noHBand="0" w:noVBand="1" w:val="04A0"/>
      </w:tblPr>
      <w:tblGrid>
        <w:gridCol w:w="10037"/>
      </w:tblGrid>
      <w:tr>
        <w:tc>
          <w:tcPr>
            <w:tcW w:type="dxa" w:w="10037"/>
            <w:shd w:fill="EEF4F8"/>
            <w:tcMar>
              <w:top w:w="120" w:type="dxa"/>
              <w:start w:w="140" w:type="dxa"/>
              <w:bottom w:w="120" w:type="dxa"/>
              <w:end w:w="140" w:type="dxa"/>
            </w:tcMar>
            <w:tcBorders>
              <w:top w:val="single" w:sz="10" w:color="183A5A"/>
              <w:left w:val="single" w:sz="10" w:color="183A5A"/>
              <w:bottom w:val="single" w:sz="10" w:color="183A5A"/>
              <w:right w:val="single" w:sz="10" w:color="183A5A"/>
            </w:tcBorders>
          </w:tcPr>
          <w:p>
            <w:pPr>
              <w:spacing w:before="0" w:after="80" w:line="259" w:lineRule="auto"/>
            </w:pPr>
            <w:r>
              <w:rPr>
                <w:rFonts w:ascii="Arial" w:hAnsi="Arial" w:eastAsia="Arial"/>
                <w:b/>
                <w:i w:val="0"/>
                <w:color w:val="183A5A"/>
                <w:sz w:val="21"/>
              </w:rPr>
              <w:t>Core source knowledge</w:t>
            </w:r>
          </w:p>
          <w:p>
            <w:pPr>
              <w:spacing w:before="0" w:after="40" w:line="259" w:lineRule="auto"/>
            </w:pPr>
            <w:r>
              <w:rPr>
                <w:rFonts w:ascii="Arial" w:hAnsi="Arial" w:eastAsia="Arial"/>
                <w:b/>
                <w:i w:val="0"/>
                <w:color w:val="1D2A35"/>
                <w:sz w:val="19"/>
              </w:rPr>
              <w:t xml:space="preserve">Wealth is </w:t>
            </w:r>
            <w:r>
              <w:rPr>
                <w:rFonts w:ascii="Arial" w:hAnsi="Arial" w:eastAsia="Arial"/>
                <w:b w:val="0"/>
                <w:i w:val="0"/>
                <w:color w:val="1D2A35"/>
                <w:sz w:val="19"/>
              </w:rPr>
              <w:t>a stock of assets: for example property, savings, pensions and investments. Income is money received over time, such as wages or benefits.</w:t>
            </w:r>
          </w:p>
          <w:p>
            <w:pPr>
              <w:spacing w:before="0" w:after="40" w:line="259" w:lineRule="auto"/>
            </w:pPr>
            <w:r>
              <w:rPr>
                <w:rFonts w:ascii="Arial" w:hAnsi="Arial" w:eastAsia="Arial"/>
                <w:b/>
                <w:i w:val="0"/>
                <w:color w:val="1D2A35"/>
                <w:sz w:val="19"/>
              </w:rPr>
              <w:t xml:space="preserve">Key report statistic: </w:t>
            </w:r>
            <w:r>
              <w:rPr>
                <w:rFonts w:ascii="Arial" w:hAnsi="Arial" w:eastAsia="Arial"/>
                <w:b w:val="0"/>
                <w:i w:val="0"/>
                <w:color w:val="1D2A35"/>
                <w:sz w:val="19"/>
              </w:rPr>
              <w:t>in 2008-10, the top tenth of the population held a share of overall wealth more than 850 times that held by the bottom tenth. The report also compared a wealth ratio of 77:1 with an income/earnings ratio of 4:1.</w:t>
            </w:r>
          </w:p>
          <w:p>
            <w:pPr>
              <w:spacing w:before="0" w:after="40" w:line="259" w:lineRule="auto"/>
            </w:pPr>
            <w:r>
              <w:rPr>
                <w:rFonts w:ascii="Arial" w:hAnsi="Arial" w:eastAsia="Arial"/>
                <w:b/>
                <w:i w:val="0"/>
                <w:color w:val="1D2A35"/>
                <w:sz w:val="19"/>
              </w:rPr>
              <w:t xml:space="preserve">Central argument: </w:t>
            </w:r>
            <w:r>
              <w:rPr>
                <w:rFonts w:ascii="Arial" w:hAnsi="Arial" w:eastAsia="Arial"/>
                <w:b w:val="0"/>
                <w:i w:val="0"/>
                <w:color w:val="1D2A35"/>
                <w:sz w:val="19"/>
              </w:rPr>
              <w:t>wealth can provide security, choice and family support. It can also be transferred through inheritance and lifetime gifts, helping class advantages continue across generations.</w:t>
            </w:r>
          </w:p>
        </w:tc>
      </w:tr>
    </w:tbl>
    <w:p>
      <w:pPr>
        <w:pStyle w:val="Heading1"/>
        <w:spacing w:before="200" w:after="80" w:line="240" w:lineRule="auto"/>
        <w:jc w:val="left"/>
      </w:pPr>
      <w:r>
        <w:rPr>
          <w:rFonts w:ascii="Arial" w:hAnsi="Arial" w:eastAsia="Arial"/>
          <w:b/>
          <w:color w:val="183A5A"/>
          <w:sz w:val="30"/>
        </w:rPr>
        <w:t>Suggested lesson sequence</w:t>
      </w:r>
    </w:p>
    <w:tbl>
      <w:tblPr>
        <w:tblStyle w:val="TableGrid"/>
        <w:tblW w:type="auto" w:w="0"/>
        <w:jc w:val="center"/>
        <w:tblLook w:firstColumn="1" w:firstRow="1" w:lastColumn="0" w:lastRow="0" w:noHBand="0" w:noVBand="1" w:val="04A0"/>
      </w:tblPr>
      <w:tblGrid>
        <w:gridCol w:w="3346"/>
        <w:gridCol w:w="3346"/>
        <w:gridCol w:w="3346"/>
      </w:tblGrid>
      <w:tr>
        <w:trPr>
          <w:tblHeader w:val="true"/>
        </w:trPr>
        <w:tc>
          <w:tcPr>
            <w:tcW w:type="dxa" w:w="3346"/>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Time</w:t>
            </w:r>
          </w:p>
        </w:tc>
        <w:tc>
          <w:tcPr>
            <w:tcW w:type="dxa" w:w="3346"/>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Teacher action</w:t>
            </w:r>
          </w:p>
        </w:tc>
        <w:tc>
          <w:tcPr>
            <w:tcW w:type="dxa" w:w="3346"/>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Student action</w:t>
            </w:r>
          </w:p>
        </w:tc>
      </w:tr>
      <w:tr>
        <w:trPr>
          <w:cantSplit/>
        </w:trPr>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0-5 mins</w:t>
            </w:r>
          </w:p>
        </w:tc>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Display the Big Question. Ask: “Can two people with the same income have different life chances?”</w:t>
            </w:r>
          </w:p>
        </w:tc>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Think-pair-share. Offer one reason why assets, debts or family support might matter.</w:t>
            </w:r>
          </w:p>
        </w:tc>
      </w:tr>
      <w:tr>
        <w:trPr>
          <w:cantSplit/>
        </w:trPr>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5-12 mins</w:t>
            </w:r>
          </w:p>
        </w:tc>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Teach the distinction between income and wealth using the key terms table. Introduce the 850-times statistic as source evidence.</w:t>
            </w:r>
          </w:p>
        </w:tc>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Complete Part 1 and discuss the challenge question.</w:t>
            </w:r>
          </w:p>
        </w:tc>
      </w:tr>
      <w:tr>
        <w:trPr>
          <w:cantSplit/>
        </w:trPr>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12-27 mins</w:t>
            </w:r>
          </w:p>
        </w:tc>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Hand out or display the evidence cards. Prompt students to explain their sorting choices rather than merely label them.</w:t>
            </w:r>
          </w:p>
        </w:tc>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Sort cards into the three categories. Choose two cards that could fit more than one category and justify this.</w:t>
            </w:r>
          </w:p>
        </w:tc>
      </w:tr>
      <w:tr>
        <w:trPr>
          <w:cantSplit/>
        </w:trPr>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27-40 mins</w:t>
            </w:r>
          </w:p>
        </w:tc>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Model one pathway briefly. Insist on a causal chain: wealth -&gt; immediate effect -&gt; life chance -&gt; class consequence.</w:t>
            </w:r>
          </w:p>
        </w:tc>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Complete three Wealth-to-Life-Chances pathways using different social institutions.</w:t>
            </w:r>
          </w:p>
        </w:tc>
      </w:tr>
      <w:tr>
        <w:trPr>
          <w:cantSplit/>
        </w:trPr>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40-52 mins</w:t>
            </w:r>
          </w:p>
        </w:tc>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Allocate theory cards. Circulate to check students are applying theory rather than only describing it.</w:t>
            </w:r>
          </w:p>
        </w:tc>
        <w:tc>
          <w:tcPr>
            <w:tcW w:type="dxa" w:w="3346"/>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Complete Weberian and Marxist applications, then a New Right counterpoint.</w:t>
            </w:r>
          </w:p>
        </w:tc>
      </w:tr>
      <w:tr>
        <w:trPr>
          <w:cantSplit/>
        </w:trPr>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52-60 mins</w:t>
            </w:r>
          </w:p>
        </w:tc>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Set the OCR-style writing challenge or use it as homework. Finish with the one-minute conclusion.</w:t>
            </w:r>
          </w:p>
        </w:tc>
        <w:tc>
          <w:tcPr>
            <w:tcW w:type="dxa" w:w="3346"/>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7"/>
              </w:rPr>
              <w:t>Write a developed paragraph and self-assess against the checklist.</w:t>
            </w:r>
          </w:p>
        </w:tc>
      </w:tr>
    </w:tbl>
    <w:p>
      <w:pPr>
        <w:spacing w:before="40" w:after="120" w:line="240" w:lineRule="auto"/>
      </w:pPr>
      <w:r>
        <w:rPr>
          <w:rFonts w:ascii="Arial" w:hAnsi="Arial" w:eastAsia="Arial"/>
          <w:b w:val="0"/>
          <w:i/>
          <w:color w:val="59636D"/>
          <w:sz w:val="16"/>
        </w:rPr>
        <w:t>Differentiation: Give support students the sentence stems on page 9. Challenge students to compare wealth inequality with income inequality and to evaluate the limitations of a policy-commission report.</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1</w:t>
            </w:r>
          </w:p>
        </w:tc>
      </w:tr>
    </w:tbl>
    <w:p>
      <w:pPr>
        <w:spacing w:before="200" w:after="80" w:line="240" w:lineRule="auto"/>
      </w:pPr>
      <w:r>
        <w:rPr>
          <w:rFonts w:ascii="Arial" w:hAnsi="Arial" w:eastAsia="Arial"/>
          <w:b/>
          <w:i w:val="0"/>
          <w:color w:val="183A5A"/>
          <w:sz w:val="50"/>
        </w:rPr>
        <w:t>Wealth is more than income</w:t>
      </w:r>
    </w:p>
    <w:p>
      <w:pPr>
        <w:spacing w:before="0" w:after="160" w:line="259" w:lineRule="auto"/>
      </w:pPr>
      <w:r>
        <w:rPr>
          <w:rFonts w:ascii="Arial" w:hAnsi="Arial" w:eastAsia="Arial"/>
          <w:b w:val="0"/>
          <w:i w:val="0"/>
          <w:color w:val="53606B"/>
          <w:sz w:val="22"/>
        </w:rPr>
        <w:t>Use this page before beginning the card sort.</w:t>
      </w:r>
    </w:p>
    <w:p>
      <w:pPr>
        <w:pStyle w:val="Heading1"/>
        <w:spacing w:before="200" w:after="80" w:line="240" w:lineRule="auto"/>
        <w:jc w:val="left"/>
      </w:pPr>
      <w:r>
        <w:rPr>
          <w:rFonts w:ascii="Arial" w:hAnsi="Arial" w:eastAsia="Arial"/>
          <w:b/>
          <w:color w:val="183A5A"/>
          <w:sz w:val="30"/>
        </w:rPr>
        <w:t>The big question</w:t>
      </w:r>
    </w:p>
    <w:tbl>
      <w:tblPr>
        <w:tblW w:type="auto" w:w="0"/>
        <w:jc w:val="center"/>
        <w:tblLook w:firstColumn="1" w:firstRow="1" w:lastColumn="0" w:lastRow="0" w:noHBand="0" w:noVBand="1" w:val="04A0"/>
      </w:tblPr>
      <w:tblGrid>
        <w:gridCol w:w="10037"/>
      </w:tblGrid>
      <w:tr>
        <w:tc>
          <w:tcPr>
            <w:tcW w:type="dxa" w:w="10037"/>
            <w:shd w:fill="FFF4D6"/>
            <w:tcMar>
              <w:top w:w="120" w:type="dxa"/>
              <w:start w:w="140" w:type="dxa"/>
              <w:bottom w:w="120" w:type="dxa"/>
              <w:end w:w="140" w:type="dxa"/>
            </w:tcMar>
            <w:tcBorders>
              <w:top w:val="single" w:sz="10" w:color="DDAE4A"/>
              <w:left w:val="single" w:sz="10" w:color="DDAE4A"/>
              <w:bottom w:val="single" w:sz="10" w:color="DDAE4A"/>
              <w:right w:val="single" w:sz="10" w:color="DDAE4A"/>
            </w:tcBorders>
          </w:tcPr>
          <w:p>
            <w:pPr>
              <w:spacing w:before="0" w:after="80" w:line="259" w:lineRule="auto"/>
            </w:pPr>
            <w:r>
              <w:rPr>
                <w:rFonts w:ascii="Arial" w:hAnsi="Arial" w:eastAsia="Arial"/>
                <w:b/>
                <w:i w:val="0"/>
                <w:color w:val="DDAE4A"/>
                <w:sz w:val="21"/>
              </w:rPr>
              <w:t>How does unequal ownership of wealth help to reproduce social class inequality?</w:t>
            </w:r>
          </w:p>
          <w:p>
            <w:pPr>
              <w:spacing w:before="0" w:after="40" w:line="259" w:lineRule="auto"/>
            </w:pPr>
            <w:r>
              <w:rPr>
                <w:rFonts w:ascii="Arial" w:hAnsi="Arial" w:eastAsia="Arial"/>
                <w:b w:val="0"/>
                <w:i w:val="0"/>
                <w:color w:val="1D2A35"/>
                <w:sz w:val="19"/>
              </w:rPr>
              <w:t>You will use evidence from Mullineux and Rowlingson (2013) to build a chain from wealth ownership to unequal life chances.</w:t>
            </w:r>
          </w:p>
          <w:p>
            <w:pPr>
              <w:spacing w:before="0" w:after="40" w:line="259" w:lineRule="auto"/>
            </w:pPr>
            <w:r>
              <w:rPr>
                <w:rFonts w:ascii="Arial" w:hAnsi="Arial" w:eastAsia="Arial"/>
                <w:b w:val="0"/>
                <w:i w:val="0"/>
                <w:color w:val="1D2A35"/>
                <w:sz w:val="19"/>
              </w:rPr>
              <w:t>You will then apply Weberian and Marxist ideas before reaching a judgement on meritocracy.</w:t>
            </w:r>
          </w:p>
        </w:tc>
      </w:tr>
    </w:tbl>
    <w:p>
      <w:pPr>
        <w:pStyle w:val="Heading1"/>
        <w:spacing w:before="200" w:after="80" w:line="240" w:lineRule="auto"/>
        <w:jc w:val="left"/>
      </w:pPr>
      <w:r>
        <w:rPr>
          <w:rFonts w:ascii="Arial" w:hAnsi="Arial" w:eastAsia="Arial"/>
          <w:b/>
          <w:color w:val="183A5A"/>
          <w:sz w:val="30"/>
        </w:rPr>
        <w:t>Task 1: Key terms</w:t>
      </w:r>
    </w:p>
    <w:tbl>
      <w:tblPr>
        <w:tblW w:type="auto" w:w="0"/>
        <w:jc w:val="center"/>
        <w:tblLook w:firstColumn="1" w:firstRow="1" w:lastColumn="0" w:lastRow="0" w:noHBand="0" w:noVBand="1" w:val="04A0"/>
      </w:tblPr>
      <w:tblGrid>
        <w:gridCol w:w="5018"/>
        <w:gridCol w:w="5018"/>
      </w:tblGrid>
      <w:tr>
        <w:trPr>
          <w:tblHeader w:val="true"/>
        </w:trPr>
        <w:tc>
          <w:tcPr>
            <w:tcW w:type="dxa" w:w="5018"/>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Key term</w:t>
            </w:r>
          </w:p>
        </w:tc>
        <w:tc>
          <w:tcPr>
            <w:tcW w:type="dxa" w:w="5018"/>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Your definition</w:t>
            </w:r>
          </w:p>
        </w:tc>
      </w:tr>
      <w:tr>
        <w:trPr>
          <w:cantSplit/>
          <w:trHeight w:val="547" w:hRule="atLeas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Income</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547" w:hRule="atLeas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Wealth</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547" w:hRule="atLeas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Asset</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547" w:hRule="atLeas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Inheritance</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547" w:hRule="atLeas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Life chances</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547" w:hRule="atLeas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Social mobility</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bl>
    <w:p>
      <w:pPr>
        <w:pStyle w:val="Heading1"/>
        <w:spacing w:before="200" w:after="80" w:line="240" w:lineRule="auto"/>
        <w:jc w:val="left"/>
      </w:pPr>
      <w:r>
        <w:rPr>
          <w:rFonts w:ascii="Arial" w:hAnsi="Arial" w:eastAsia="Arial"/>
          <w:b/>
          <w:color w:val="183A5A"/>
          <w:sz w:val="30"/>
        </w:rPr>
        <w:t>Task 2: Explain the difference</w:t>
      </w:r>
    </w:p>
    <w:p>
      <w:pPr>
        <w:spacing w:before="0" w:after="80" w:line="264" w:lineRule="auto"/>
      </w:pPr>
      <w:r>
        <w:rPr>
          <w:rFonts w:ascii="Arial" w:hAnsi="Arial" w:eastAsia="Arial"/>
          <w:b/>
          <w:i w:val="0"/>
          <w:color w:val="1D2A35"/>
          <w:sz w:val="21"/>
        </w:rPr>
        <w:t>Why might two people with similar incomes have very different life chances?</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pStyle w:val="Heading1"/>
        <w:spacing w:before="200" w:after="80" w:line="240" w:lineRule="auto"/>
        <w:jc w:val="left"/>
      </w:pPr>
      <w:r>
        <w:rPr>
          <w:rFonts w:ascii="Arial" w:hAnsi="Arial" w:eastAsia="Arial"/>
          <w:b/>
          <w:color w:val="183A5A"/>
          <w:sz w:val="30"/>
        </w:rPr>
        <w:t>Source evidence</w:t>
      </w:r>
    </w:p>
    <w:tbl>
      <w:tblPr>
        <w:tblW w:type="auto" w:w="0"/>
        <w:jc w:val="center"/>
        <w:tblLook w:firstColumn="1" w:firstRow="1" w:lastColumn="0" w:lastRow="0" w:noHBand="0" w:noVBand="1" w:val="04A0"/>
      </w:tblPr>
      <w:tblGrid>
        <w:gridCol w:w="10037"/>
      </w:tblGrid>
      <w:tr>
        <w:tc>
          <w:tcPr>
            <w:tcW w:type="dxa" w:w="10037"/>
            <w:shd w:fill="EEF4F8"/>
            <w:tcMar>
              <w:top w:w="120" w:type="dxa"/>
              <w:start w:w="140" w:type="dxa"/>
              <w:bottom w:w="120" w:type="dxa"/>
              <w:end w:w="140" w:type="dxa"/>
            </w:tcMar>
            <w:tcBorders>
              <w:top w:val="single" w:sz="10" w:color="183A5A"/>
              <w:left w:val="single" w:sz="10" w:color="183A5A"/>
              <w:bottom w:val="single" w:sz="10" w:color="183A5A"/>
              <w:right w:val="single" w:sz="10" w:color="183A5A"/>
            </w:tcBorders>
          </w:tcPr>
          <w:p>
            <w:pPr>
              <w:spacing w:before="0" w:after="80" w:line="259" w:lineRule="auto"/>
            </w:pPr>
            <w:r>
              <w:rPr>
                <w:rFonts w:ascii="Arial" w:hAnsi="Arial" w:eastAsia="Arial"/>
                <w:b/>
                <w:i w:val="0"/>
                <w:color w:val="183A5A"/>
                <w:sz w:val="21"/>
              </w:rPr>
              <w:t>Mullineux and Rowlingson (2013)</w:t>
            </w:r>
          </w:p>
          <w:p>
            <w:pPr>
              <w:spacing w:before="0" w:after="40" w:line="259" w:lineRule="auto"/>
            </w:pPr>
            <w:r>
              <w:rPr>
                <w:rFonts w:ascii="Arial" w:hAnsi="Arial" w:eastAsia="Arial"/>
                <w:b w:val="0"/>
                <w:i w:val="0"/>
                <w:color w:val="1D2A35"/>
                <w:sz w:val="19"/>
              </w:rPr>
              <w:t>The report argued that personal wealth was distributed much more unequally than income.</w:t>
            </w:r>
          </w:p>
          <w:p>
            <w:pPr>
              <w:spacing w:before="0" w:after="40" w:line="259" w:lineRule="auto"/>
            </w:pPr>
            <w:r>
              <w:rPr>
                <w:rFonts w:ascii="Arial" w:hAnsi="Arial" w:eastAsia="Arial"/>
                <w:b w:val="0"/>
                <w:i w:val="0"/>
                <w:color w:val="1D2A35"/>
                <w:sz w:val="19"/>
              </w:rPr>
              <w:t>In 2008-10, the overall share of wealth held by the top tenth of the population was more than 850 times the share held by the bottom tenth.</w:t>
            </w:r>
          </w:p>
          <w:p>
            <w:pPr>
              <w:spacing w:before="0" w:after="40" w:line="259" w:lineRule="auto"/>
            </w:pPr>
            <w:r>
              <w:rPr>
                <w:rFonts w:ascii="Arial" w:hAnsi="Arial" w:eastAsia="Arial"/>
                <w:b w:val="0"/>
                <w:i w:val="0"/>
                <w:color w:val="1D2A35"/>
                <w:sz w:val="19"/>
              </w:rPr>
              <w:t>Use this statistic carefully: it tells us about the report’s data period, not necessarily the position today.</w:t>
            </w:r>
          </w:p>
        </w:tc>
      </w:tr>
    </w:tbl>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2</w:t>
            </w:r>
          </w:p>
        </w:tc>
      </w:tr>
    </w:tbl>
    <w:p>
      <w:pPr>
        <w:spacing w:before="200" w:after="80" w:line="240" w:lineRule="auto"/>
      </w:pPr>
      <w:r>
        <w:rPr>
          <w:rFonts w:ascii="Arial" w:hAnsi="Arial" w:eastAsia="Arial"/>
          <w:b/>
          <w:i w:val="0"/>
          <w:color w:val="183A5A"/>
          <w:sz w:val="50"/>
        </w:rPr>
        <w:t>Evidence cards</w:t>
      </w:r>
    </w:p>
    <w:p>
      <w:pPr>
        <w:spacing w:before="0" w:after="160" w:line="259" w:lineRule="auto"/>
      </w:pPr>
      <w:r>
        <w:rPr>
          <w:rFonts w:ascii="Arial" w:hAnsi="Arial" w:eastAsia="Arial"/>
          <w:b w:val="0"/>
          <w:i w:val="0"/>
          <w:color w:val="53606B"/>
          <w:sz w:val="22"/>
        </w:rPr>
        <w:t>Cut out the cards. Sort them, then use the strongest cards in your pathways.</w:t>
      </w:r>
    </w:p>
    <w:p>
      <w:pPr>
        <w:spacing w:before="0" w:after="120" w:line="259" w:lineRule="auto"/>
      </w:pPr>
      <w:r>
        <w:rPr>
          <w:rFonts w:ascii="Arial" w:hAnsi="Arial" w:eastAsia="Arial"/>
          <w:b/>
          <w:i w:val="0"/>
          <w:color w:val="183A5A"/>
          <w:sz w:val="20"/>
        </w:rPr>
        <w:t xml:space="preserve">Sort each card into one or more categories: </w:t>
      </w:r>
      <w:r>
        <w:rPr>
          <w:rFonts w:ascii="Arial" w:hAnsi="Arial" w:eastAsia="Arial"/>
          <w:b w:val="0"/>
          <w:i w:val="0"/>
          <w:color w:val="1D2A35"/>
          <w:sz w:val="20"/>
        </w:rPr>
        <w:t>(1) how wealth is created or accumulated, (2) how wealth affects life chances, (3) how wealth reproduces class inequality.</w:t>
      </w:r>
    </w:p>
    <w:tbl>
      <w:tblPr>
        <w:tblW w:type="auto" w:w="0"/>
        <w:jc w:val="center"/>
        <w:tblLayout w:type="fixed"/>
        <w:tblLook w:firstColumn="1" w:firstRow="1" w:lastColumn="0" w:lastRow="0" w:noHBand="0" w:noVBand="1" w:val="04A0"/>
      </w:tblPr>
      <w:tblGrid>
        <w:gridCol w:w="5018"/>
        <w:gridCol w:w="5018"/>
      </w:tblGrid>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1</w:t>
            </w:r>
          </w:p>
          <w:p>
            <w:pPr>
              <w:spacing w:before="0" w:after="0" w:line="259" w:lineRule="auto"/>
            </w:pPr>
            <w:r>
              <w:rPr>
                <w:rFonts w:ascii="Arial" w:hAnsi="Arial" w:eastAsia="Arial"/>
                <w:b/>
                <w:i w:val="0"/>
                <w:color w:val="1D2A35"/>
                <w:sz w:val="20"/>
              </w:rPr>
              <w:t>Wealth includes property, savings, investments and private pensions.</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2</w:t>
            </w:r>
          </w:p>
          <w:p>
            <w:pPr>
              <w:spacing w:before="0" w:after="0" w:line="259" w:lineRule="auto"/>
            </w:pPr>
            <w:r>
              <w:rPr>
                <w:rFonts w:ascii="Arial" w:hAnsi="Arial" w:eastAsia="Arial"/>
                <w:b/>
                <w:i w:val="0"/>
                <w:color w:val="1D2A35"/>
                <w:sz w:val="20"/>
              </w:rPr>
              <w:t>People who own property may gain wealth when house prices rise.</w:t>
            </w:r>
          </w:p>
        </w:tc>
      </w:tr>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3</w:t>
            </w:r>
          </w:p>
          <w:p>
            <w:pPr>
              <w:spacing w:before="0" w:after="0" w:line="259" w:lineRule="auto"/>
            </w:pPr>
            <w:r>
              <w:rPr>
                <w:rFonts w:ascii="Arial" w:hAnsi="Arial" w:eastAsia="Arial"/>
                <w:b/>
                <w:i w:val="0"/>
                <w:color w:val="1D2A35"/>
                <w:sz w:val="20"/>
              </w:rPr>
              <w:t>A family may be able to give a young person money towards a house deposit.</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4</w:t>
            </w:r>
          </w:p>
          <w:p>
            <w:pPr>
              <w:spacing w:before="0" w:after="0" w:line="259" w:lineRule="auto"/>
            </w:pPr>
            <w:r>
              <w:rPr>
                <w:rFonts w:ascii="Arial" w:hAnsi="Arial" w:eastAsia="Arial"/>
                <w:b/>
                <w:i w:val="0"/>
                <w:color w:val="1D2A35"/>
                <w:sz w:val="20"/>
              </w:rPr>
              <w:t>Someone with savings may cope more easily with unemployment or an unexpected bill.</w:t>
            </w:r>
          </w:p>
        </w:tc>
      </w:tr>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5</w:t>
            </w:r>
          </w:p>
          <w:p>
            <w:pPr>
              <w:spacing w:before="0" w:after="0" w:line="259" w:lineRule="auto"/>
            </w:pPr>
            <w:r>
              <w:rPr>
                <w:rFonts w:ascii="Arial" w:hAnsi="Arial" w:eastAsia="Arial"/>
                <w:b/>
                <w:i w:val="0"/>
                <w:color w:val="1D2A35"/>
                <w:sz w:val="20"/>
              </w:rPr>
              <w:t>A household with debt and no savings may be more vulnerable during a financial crisis.</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6</w:t>
            </w:r>
          </w:p>
          <w:p>
            <w:pPr>
              <w:spacing w:before="0" w:after="0" w:line="259" w:lineRule="auto"/>
            </w:pPr>
            <w:r>
              <w:rPr>
                <w:rFonts w:ascii="Arial" w:hAnsi="Arial" w:eastAsia="Arial"/>
                <w:b/>
                <w:i w:val="0"/>
                <w:color w:val="1D2A35"/>
                <w:sz w:val="20"/>
              </w:rPr>
              <w:t>Parents with wealth may be able to support children through university or unpaid internships.</w:t>
            </w:r>
          </w:p>
        </w:tc>
      </w:tr>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7</w:t>
            </w:r>
          </w:p>
          <w:p>
            <w:pPr>
              <w:spacing w:before="0" w:after="0" w:line="259" w:lineRule="auto"/>
            </w:pPr>
            <w:r>
              <w:rPr>
                <w:rFonts w:ascii="Arial" w:hAnsi="Arial" w:eastAsia="Arial"/>
                <w:b/>
                <w:i w:val="0"/>
                <w:color w:val="1D2A35"/>
                <w:sz w:val="20"/>
              </w:rPr>
              <w:t>Inheritance can transfer money, property and other assets between generations.</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8</w:t>
            </w:r>
          </w:p>
          <w:p>
            <w:pPr>
              <w:spacing w:before="0" w:after="0" w:line="259" w:lineRule="auto"/>
            </w:pPr>
            <w:r>
              <w:rPr>
                <w:rFonts w:ascii="Arial" w:hAnsi="Arial" w:eastAsia="Arial"/>
                <w:b/>
                <w:i w:val="0"/>
                <w:color w:val="1D2A35"/>
                <w:sz w:val="20"/>
              </w:rPr>
              <w:t>A young adult who receives family help may enter home ownership earlier than someone who rents privately.</w:t>
            </w:r>
          </w:p>
        </w:tc>
      </w:tr>
    </w:tbl>
    <w:p>
      <w:pPr>
        <w:spacing w:before="40" w:after="120" w:line="240" w:lineRule="auto"/>
      </w:pPr>
      <w:r>
        <w:rPr>
          <w:rFonts w:ascii="Arial" w:hAnsi="Arial" w:eastAsia="Arial"/>
          <w:b w:val="0"/>
          <w:i/>
          <w:color w:val="59636D"/>
          <w:sz w:val="16"/>
        </w:rPr>
        <w:t>Card sort prompt: Be ready to explain why some cards belong in more than one category. The strongest explanations show links between family resources, life chances and the reproduction of advantage.</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2</w:t>
            </w:r>
          </w:p>
        </w:tc>
      </w:tr>
    </w:tbl>
    <w:p>
      <w:pPr>
        <w:spacing w:before="200" w:after="80" w:line="240" w:lineRule="auto"/>
      </w:pPr>
      <w:r>
        <w:rPr>
          <w:rFonts w:ascii="Arial" w:hAnsi="Arial" w:eastAsia="Arial"/>
          <w:b/>
          <w:i w:val="0"/>
          <w:color w:val="183A5A"/>
          <w:sz w:val="50"/>
        </w:rPr>
        <w:t>Evidence cards</w:t>
      </w:r>
    </w:p>
    <w:p>
      <w:pPr>
        <w:spacing w:before="0" w:after="160" w:line="259" w:lineRule="auto"/>
      </w:pPr>
      <w:r>
        <w:rPr>
          <w:rFonts w:ascii="Arial" w:hAnsi="Arial" w:eastAsia="Arial"/>
          <w:b w:val="0"/>
          <w:i w:val="0"/>
          <w:color w:val="53606B"/>
          <w:sz w:val="22"/>
        </w:rPr>
        <w:t>Cut out the cards. Sort them, then use the strongest cards in your pathways.</w:t>
      </w:r>
    </w:p>
    <w:p>
      <w:pPr>
        <w:spacing w:before="0" w:after="120" w:line="259" w:lineRule="auto"/>
      </w:pPr>
      <w:r>
        <w:rPr>
          <w:rFonts w:ascii="Arial" w:hAnsi="Arial" w:eastAsia="Arial"/>
          <w:b/>
          <w:i w:val="0"/>
          <w:color w:val="183A5A"/>
          <w:sz w:val="20"/>
        </w:rPr>
        <w:t xml:space="preserve">Sort each card into one or more categories: </w:t>
      </w:r>
      <w:r>
        <w:rPr>
          <w:rFonts w:ascii="Arial" w:hAnsi="Arial" w:eastAsia="Arial"/>
          <w:b w:val="0"/>
          <w:i w:val="0"/>
          <w:color w:val="1D2A35"/>
          <w:sz w:val="20"/>
        </w:rPr>
        <w:t>(1) how wealth is created or accumulated, (2) how wealth affects life chances, (3) how wealth reproduces class inequality.</w:t>
      </w:r>
    </w:p>
    <w:tbl>
      <w:tblPr>
        <w:tblW w:type="auto" w:w="0"/>
        <w:jc w:val="center"/>
        <w:tblLayout w:type="fixed"/>
        <w:tblLook w:firstColumn="1" w:firstRow="1" w:lastColumn="0" w:lastRow="0" w:noHBand="0" w:noVBand="1" w:val="04A0"/>
      </w:tblPr>
      <w:tblGrid>
        <w:gridCol w:w="5018"/>
        <w:gridCol w:w="5018"/>
      </w:tblGrid>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9</w:t>
            </w:r>
          </w:p>
          <w:p>
            <w:pPr>
              <w:spacing w:before="0" w:after="0" w:line="259" w:lineRule="auto"/>
            </w:pPr>
            <w:r>
              <w:rPr>
                <w:rFonts w:ascii="Arial" w:hAnsi="Arial" w:eastAsia="Arial"/>
                <w:b/>
                <w:i w:val="0"/>
                <w:color w:val="1D2A35"/>
                <w:sz w:val="20"/>
              </w:rPr>
              <w:t>Owning a home can provide greater housing security than repeated moves in the private rented sector.</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10</w:t>
            </w:r>
          </w:p>
          <w:p>
            <w:pPr>
              <w:spacing w:before="0" w:after="0" w:line="259" w:lineRule="auto"/>
            </w:pPr>
            <w:r>
              <w:rPr>
                <w:rFonts w:ascii="Arial" w:hAnsi="Arial" w:eastAsia="Arial"/>
                <w:b/>
                <w:i w:val="0"/>
                <w:color w:val="1D2A35"/>
                <w:sz w:val="20"/>
              </w:rPr>
              <w:t>Families with assets may support children during unemployment, illness or relationship breakdown.</w:t>
            </w:r>
          </w:p>
        </w:tc>
      </w:tr>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11</w:t>
            </w:r>
          </w:p>
          <w:p>
            <w:pPr>
              <w:spacing w:before="0" w:after="0" w:line="259" w:lineRule="auto"/>
            </w:pPr>
            <w:r>
              <w:rPr>
                <w:rFonts w:ascii="Arial" w:hAnsi="Arial" w:eastAsia="Arial"/>
                <w:b/>
                <w:i w:val="0"/>
                <w:color w:val="1D2A35"/>
                <w:sz w:val="20"/>
              </w:rPr>
              <w:t>Wealth can provide a financial cushion against risk.</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12</w:t>
            </w:r>
          </w:p>
          <w:p>
            <w:pPr>
              <w:spacing w:before="0" w:after="0" w:line="259" w:lineRule="auto"/>
            </w:pPr>
            <w:r>
              <w:rPr>
                <w:rFonts w:ascii="Arial" w:hAnsi="Arial" w:eastAsia="Arial"/>
                <w:b/>
                <w:i w:val="0"/>
                <w:color w:val="1D2A35"/>
                <w:sz w:val="20"/>
              </w:rPr>
              <w:t>People without wealth may have fewer opportunities to save, invest or take financial risks.</w:t>
            </w:r>
          </w:p>
        </w:tc>
      </w:tr>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13</w:t>
            </w:r>
          </w:p>
          <w:p>
            <w:pPr>
              <w:spacing w:before="0" w:after="0" w:line="259" w:lineRule="auto"/>
            </w:pPr>
            <w:r>
              <w:rPr>
                <w:rFonts w:ascii="Arial" w:hAnsi="Arial" w:eastAsia="Arial"/>
                <w:b/>
                <w:i w:val="0"/>
                <w:color w:val="1D2A35"/>
                <w:sz w:val="20"/>
              </w:rPr>
              <w:t>Wealth inequality may give affluent groups greater influence over politics and policy.</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14</w:t>
            </w:r>
          </w:p>
          <w:p>
            <w:pPr>
              <w:spacing w:before="0" w:after="0" w:line="259" w:lineRule="auto"/>
            </w:pPr>
            <w:r>
              <w:rPr>
                <w:rFonts w:ascii="Arial" w:hAnsi="Arial" w:eastAsia="Arial"/>
                <w:b/>
                <w:i w:val="0"/>
                <w:color w:val="1D2A35"/>
                <w:sz w:val="20"/>
              </w:rPr>
              <w:t>Wealth can be passed down even when a child has not personally earned it.</w:t>
            </w:r>
          </w:p>
        </w:tc>
      </w:tr>
      <w:tr>
        <w:trPr>
          <w:trHeight w:val="2232" w:hRule="atLeast"/>
        </w:trPr>
        <w:tc>
          <w:tcPr>
            <w:tcW w:type="dxa" w:w="5018"/>
            <w:shd w:fill="EAF5F3"/>
            <w:tcMar>
              <w:top w:w="140" w:type="dxa"/>
              <w:start w:w="150" w:type="dxa"/>
              <w:bottom w:w="120" w:type="dxa"/>
              <w:end w:w="150" w:type="dxa"/>
            </w:tcMar>
            <w:tcBorders>
              <w:top w:val="single" w:sz="10" w:color="2D7D7B"/>
              <w:left w:val="single" w:sz="10" w:color="2D7D7B"/>
              <w:bottom w:val="single" w:sz="10" w:color="2D7D7B"/>
              <w:right w:val="single" w:sz="10" w:color="2D7D7B"/>
            </w:tcBorders>
          </w:tcPr>
          <w:p>
            <w:pPr>
              <w:spacing w:before="0" w:after="80" w:line="240" w:lineRule="auto"/>
            </w:pPr>
            <w:r>
              <w:rPr>
                <w:rFonts w:ascii="Arial" w:hAnsi="Arial" w:eastAsia="Arial"/>
                <w:b/>
                <w:i w:val="0"/>
                <w:color w:val="2D7D7B"/>
                <w:sz w:val="16"/>
              </w:rPr>
              <w:t>CARD 15</w:t>
            </w:r>
          </w:p>
          <w:p>
            <w:pPr>
              <w:spacing w:before="0" w:after="0" w:line="259" w:lineRule="auto"/>
            </w:pPr>
            <w:r>
              <w:rPr>
                <w:rFonts w:ascii="Arial" w:hAnsi="Arial" w:eastAsia="Arial"/>
                <w:b/>
                <w:i w:val="0"/>
                <w:color w:val="1D2A35"/>
                <w:sz w:val="20"/>
              </w:rPr>
              <w:t>Unequal wealth may make it harder for society to be genuinely meritocratic.</w:t>
            </w:r>
          </w:p>
        </w:tc>
        <w:tc>
          <w:tcPr>
            <w:tcW w:type="dxa" w:w="5018"/>
            <w:shd w:fill="FFF4D6"/>
            <w:tcMar>
              <w:top w:w="140" w:type="dxa"/>
              <w:start w:w="150" w:type="dxa"/>
              <w:bottom w:w="120" w:type="dxa"/>
              <w:end w:w="150" w:type="dxa"/>
            </w:tcMar>
            <w:tcBorders>
              <w:top w:val="single" w:sz="10" w:color="DDAE4A"/>
              <w:left w:val="single" w:sz="10" w:color="DDAE4A"/>
              <w:bottom w:val="single" w:sz="10" w:color="DDAE4A"/>
              <w:right w:val="single" w:sz="10" w:color="DDAE4A"/>
            </w:tcBorders>
          </w:tcPr>
          <w:p>
            <w:pPr>
              <w:spacing w:before="0" w:after="80" w:line="240" w:lineRule="auto"/>
            </w:pPr>
            <w:r>
              <w:rPr>
                <w:rFonts w:ascii="Arial" w:hAnsi="Arial" w:eastAsia="Arial"/>
                <w:b/>
                <w:i w:val="0"/>
                <w:color w:val="956F16"/>
                <w:sz w:val="16"/>
              </w:rPr>
              <w:t>CARD 16</w:t>
            </w:r>
          </w:p>
          <w:p>
            <w:pPr>
              <w:spacing w:before="0" w:after="0" w:line="259" w:lineRule="auto"/>
            </w:pPr>
            <w:r>
              <w:rPr>
                <w:rFonts w:ascii="Arial" w:hAnsi="Arial" w:eastAsia="Arial"/>
                <w:b/>
                <w:i w:val="0"/>
                <w:color w:val="1D2A35"/>
                <w:sz w:val="20"/>
              </w:rPr>
              <w:t>A person can have a reasonable income but little wealth if they rent, have debt or cannot save.</w:t>
            </w:r>
          </w:p>
        </w:tc>
      </w:tr>
    </w:tbl>
    <w:p>
      <w:pPr>
        <w:spacing w:before="40" w:after="120" w:line="240" w:lineRule="auto"/>
      </w:pPr>
      <w:r>
        <w:rPr>
          <w:rFonts w:ascii="Arial" w:hAnsi="Arial" w:eastAsia="Arial"/>
          <w:b w:val="0"/>
          <w:i/>
          <w:color w:val="59636D"/>
          <w:sz w:val="16"/>
        </w:rPr>
        <w:t>Card sort prompt: Be ready to explain why some cards belong in more than one category. The strongest explanations show links between family resources, life chances and the reproduction of advantage.</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3</w:t>
            </w:r>
          </w:p>
        </w:tc>
      </w:tr>
    </w:tbl>
    <w:p>
      <w:pPr>
        <w:spacing w:before="200" w:after="80" w:line="240" w:lineRule="auto"/>
      </w:pPr>
      <w:r>
        <w:rPr>
          <w:rFonts w:ascii="Arial" w:hAnsi="Arial" w:eastAsia="Arial"/>
          <w:b/>
          <w:i w:val="0"/>
          <w:color w:val="183A5A"/>
          <w:sz w:val="50"/>
        </w:rPr>
        <w:t>Build the Wealth-to-Life-Chances Chain</w:t>
      </w:r>
    </w:p>
    <w:p>
      <w:pPr>
        <w:spacing w:before="0" w:after="160" w:line="259" w:lineRule="auto"/>
      </w:pPr>
      <w:r>
        <w:rPr>
          <w:rFonts w:ascii="Arial" w:hAnsi="Arial" w:eastAsia="Arial"/>
          <w:b w:val="0"/>
          <w:i w:val="0"/>
          <w:color w:val="53606B"/>
          <w:sz w:val="22"/>
        </w:rPr>
        <w:t>Your job is to show a clear social process, not just to describe a difference.</w:t>
      </w:r>
    </w:p>
    <w:tbl>
      <w:tblPr>
        <w:tblW w:type="auto" w:w="0"/>
        <w:jc w:val="center"/>
        <w:tblLook w:firstColumn="1" w:firstRow="1" w:lastColumn="0" w:lastRow="0" w:noHBand="0" w:noVBand="1" w:val="04A0"/>
      </w:tblPr>
      <w:tblGrid>
        <w:gridCol w:w="10037"/>
      </w:tblGrid>
      <w:tr>
        <w:tc>
          <w:tcPr>
            <w:tcW w:type="dxa" w:w="10037"/>
            <w:shd w:fill="EEF4F8"/>
            <w:tcMar>
              <w:top w:w="120" w:type="dxa"/>
              <w:start w:w="140" w:type="dxa"/>
              <w:bottom w:w="120" w:type="dxa"/>
              <w:end w:w="140" w:type="dxa"/>
            </w:tcMar>
            <w:tcBorders>
              <w:top w:val="single" w:sz="10" w:color="183A5A"/>
              <w:left w:val="single" w:sz="10" w:color="183A5A"/>
              <w:bottom w:val="single" w:sz="10" w:color="183A5A"/>
              <w:right w:val="single" w:sz="10" w:color="183A5A"/>
            </w:tcBorders>
          </w:tcPr>
          <w:p>
            <w:pPr>
              <w:spacing w:before="0" w:after="80" w:line="259" w:lineRule="auto"/>
            </w:pPr>
            <w:r>
              <w:rPr>
                <w:rFonts w:ascii="Arial" w:hAnsi="Arial" w:eastAsia="Arial"/>
                <w:b/>
                <w:i w:val="0"/>
                <w:color w:val="183A5A"/>
                <w:sz w:val="21"/>
              </w:rPr>
              <w:t>Model pathway</w:t>
            </w:r>
          </w:p>
          <w:p>
            <w:pPr>
              <w:spacing w:before="0" w:after="40" w:line="259" w:lineRule="auto"/>
            </w:pPr>
            <w:r>
              <w:rPr>
                <w:rFonts w:ascii="Arial" w:hAnsi="Arial" w:eastAsia="Arial"/>
                <w:b w:val="0"/>
                <w:i w:val="0"/>
                <w:color w:val="1D2A35"/>
                <w:sz w:val="19"/>
              </w:rPr>
              <w:t>Family owns a mortgage-free home -&gt; more money can be used for savings or support -&gt; child receives help with university costs or a housing deposit -&gt; lower debt / more secure housing -&gt; wider career choices -&gt; class advantage is reproduced.</w:t>
            </w:r>
          </w:p>
        </w:tc>
      </w:tr>
    </w:tbl>
    <w:p>
      <w:pPr>
        <w:pStyle w:val="Heading1"/>
        <w:spacing w:before="200" w:after="80" w:line="240" w:lineRule="auto"/>
        <w:jc w:val="left"/>
      </w:pPr>
      <w:r>
        <w:rPr>
          <w:rFonts w:ascii="Arial" w:hAnsi="Arial" w:eastAsia="Arial"/>
          <w:b/>
          <w:color w:val="183A5A"/>
          <w:sz w:val="30"/>
        </w:rPr>
        <w:t>Your task</w:t>
      </w:r>
    </w:p>
    <w:p>
      <w:pPr>
        <w:spacing w:before="0" w:after="80" w:line="259" w:lineRule="auto"/>
      </w:pPr>
      <w:r>
        <w:rPr>
          <w:rFonts w:ascii="Arial" w:hAnsi="Arial" w:eastAsia="Arial"/>
          <w:b w:val="0"/>
          <w:i w:val="0"/>
          <w:color w:val="1D2A35"/>
          <w:sz w:val="20"/>
        </w:rPr>
        <w:t xml:space="preserve">Choose three evidence cards. Build a pathway for each one. Your three pathways must cover at least two of the following: </w:t>
      </w:r>
      <w:r>
        <w:rPr>
          <w:rFonts w:ascii="Arial" w:hAnsi="Arial" w:eastAsia="Arial"/>
          <w:b/>
          <w:i w:val="0"/>
          <w:color w:val="183A5A"/>
          <w:sz w:val="20"/>
        </w:rPr>
        <w:t>education, housing, employment, health, family life, political influence or social mobility.</w:t>
      </w:r>
    </w:p>
    <w:tbl>
      <w:tblPr>
        <w:tblW w:type="auto" w:w="0"/>
        <w:jc w:val="center"/>
        <w:tblLook w:firstColumn="1" w:firstRow="1" w:lastColumn="0" w:lastRow="0" w:noHBand="0" w:noVBand="1" w:val="04A0"/>
      </w:tblPr>
      <w:tblGrid>
        <w:gridCol w:w="2509"/>
        <w:gridCol w:w="2509"/>
        <w:gridCol w:w="2509"/>
        <w:gridCol w:w="2509"/>
      </w:tblGrid>
      <w:tr>
        <w:trPr>
          <w:tblHeader w:val="true"/>
        </w:trPr>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Starting point: wealth advantage / disadvantage</w:t>
            </w:r>
          </w:p>
        </w:tc>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Immediate effect</w:t>
            </w:r>
          </w:p>
        </w:tc>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Effect on life chances</w:t>
            </w:r>
          </w:p>
        </w:tc>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Long-term class consequence</w:t>
            </w:r>
          </w:p>
        </w:tc>
      </w:tr>
      <w:tr>
        <w:trPr>
          <w:cantSplit/>
          <w:trHeight w:val="2088" w:hRule="atLeas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2088" w:hRule="atLeas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r>
        <w:trPr>
          <w:cantSplit/>
          <w:trHeight w:val="2088" w:hRule="atLeas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r>
          </w:p>
        </w:tc>
      </w:tr>
    </w:tbl>
    <w:p>
      <w:pPr>
        <w:pStyle w:val="Heading1"/>
        <w:spacing w:before="200" w:after="80" w:line="240" w:lineRule="auto"/>
        <w:jc w:val="left"/>
      </w:pPr>
      <w:r>
        <w:rPr>
          <w:rFonts w:ascii="Arial" w:hAnsi="Arial" w:eastAsia="Arial"/>
          <w:b/>
          <w:color w:val="183A5A"/>
          <w:sz w:val="30"/>
        </w:rPr>
        <w:t>Challenge: show the feedback loop</w:t>
      </w:r>
    </w:p>
    <w:p>
      <w:pPr>
        <w:spacing w:before="0" w:after="60" w:line="259" w:lineRule="auto"/>
      </w:pPr>
      <w:r>
        <w:rPr>
          <w:rFonts w:ascii="Arial" w:hAnsi="Arial" w:eastAsia="Arial"/>
          <w:b/>
          <w:i w:val="0"/>
          <w:color w:val="1D2A35"/>
          <w:sz w:val="20"/>
        </w:rPr>
        <w:t>Write one sentence explaining how an advantage received by a child could later become an advantage passed to their own children.</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4</w:t>
            </w:r>
          </w:p>
        </w:tc>
      </w:tr>
    </w:tbl>
    <w:p>
      <w:pPr>
        <w:spacing w:before="200" w:after="80" w:line="240" w:lineRule="auto"/>
      </w:pPr>
      <w:r>
        <w:rPr>
          <w:rFonts w:ascii="Arial" w:hAnsi="Arial" w:eastAsia="Arial"/>
          <w:b/>
          <w:i w:val="0"/>
          <w:color w:val="183A5A"/>
          <w:sz w:val="50"/>
        </w:rPr>
        <w:t>Apply sociological theory</w:t>
      </w:r>
    </w:p>
    <w:p>
      <w:pPr>
        <w:spacing w:before="0" w:after="160" w:line="259" w:lineRule="auto"/>
      </w:pPr>
      <w:r>
        <w:rPr>
          <w:rFonts w:ascii="Arial" w:hAnsi="Arial" w:eastAsia="Arial"/>
          <w:b w:val="0"/>
          <w:i w:val="0"/>
          <w:color w:val="53606B"/>
          <w:sz w:val="22"/>
        </w:rPr>
        <w:t>Use the report’s evidence, but explain it through different perspectives.</w:t>
      </w:r>
    </w:p>
    <w:p>
      <w:pPr>
        <w:pStyle w:val="Heading1"/>
        <w:spacing w:before="200" w:after="80" w:line="240" w:lineRule="auto"/>
        <w:jc w:val="left"/>
      </w:pPr>
      <w:r>
        <w:rPr>
          <w:rFonts w:ascii="Arial" w:hAnsi="Arial" w:eastAsia="Arial"/>
          <w:b/>
          <w:color w:val="183A5A"/>
          <w:sz w:val="30"/>
        </w:rPr>
        <w:t>Theory card A: Weber</w:t>
      </w:r>
    </w:p>
    <w:tbl>
      <w:tblPr>
        <w:tblW w:type="auto" w:w="0"/>
        <w:jc w:val="center"/>
        <w:tblLook w:firstColumn="1" w:firstRow="1" w:lastColumn="0" w:lastRow="0" w:noHBand="0" w:noVBand="1" w:val="04A0"/>
      </w:tblPr>
      <w:tblGrid>
        <w:gridCol w:w="10037"/>
      </w:tblGrid>
      <w:tr>
        <w:tc>
          <w:tcPr>
            <w:tcW w:type="dxa" w:w="10037"/>
            <w:shd w:fill="EAF5F3"/>
            <w:tcMar>
              <w:top w:w="120" w:type="dxa"/>
              <w:start w:w="140" w:type="dxa"/>
              <w:bottom w:w="120" w:type="dxa"/>
              <w:end w:w="140" w:type="dxa"/>
            </w:tcMar>
            <w:tcBorders>
              <w:top w:val="single" w:sz="10" w:color="2D7D7B"/>
              <w:left w:val="single" w:sz="10" w:color="2D7D7B"/>
              <w:bottom w:val="single" w:sz="10" w:color="2D7D7B"/>
              <w:right w:val="single" w:sz="10" w:color="2D7D7B"/>
            </w:tcBorders>
          </w:tcPr>
          <w:p>
            <w:pPr>
              <w:spacing w:before="0" w:after="80" w:line="259" w:lineRule="auto"/>
            </w:pPr>
            <w:r>
              <w:rPr>
                <w:rFonts w:ascii="Arial" w:hAnsi="Arial" w:eastAsia="Arial"/>
                <w:b/>
                <w:i w:val="0"/>
                <w:color w:val="2D7D7B"/>
                <w:sz w:val="21"/>
              </w:rPr>
              <w:t>Weberian ideas</w:t>
            </w:r>
          </w:p>
          <w:p>
            <w:pPr>
              <w:spacing w:before="0" w:after="40" w:line="259" w:lineRule="auto"/>
            </w:pPr>
            <w:r>
              <w:rPr>
                <w:rFonts w:ascii="Arial" w:hAnsi="Arial" w:eastAsia="Arial"/>
                <w:b w:val="0"/>
                <w:i w:val="0"/>
                <w:color w:val="1D2A35"/>
                <w:sz w:val="19"/>
              </w:rPr>
              <w:t>Weber argued that people’s market situation shapes their life chances. Those with more economic resources can access greater security, choice and opportunity.</w:t>
            </w:r>
          </w:p>
          <w:p>
            <w:pPr>
              <w:spacing w:before="0" w:after="40" w:line="259" w:lineRule="auto"/>
            </w:pPr>
            <w:r>
              <w:rPr>
                <w:rFonts w:ascii="Arial" w:hAnsi="Arial" w:eastAsia="Arial"/>
                <w:b w:val="0"/>
                <w:i w:val="0"/>
                <w:color w:val="1D2A35"/>
                <w:sz w:val="19"/>
              </w:rPr>
              <w:t>Use this to explain how wealth might shape housing, education, work and health.</w:t>
            </w:r>
          </w:p>
        </w:tc>
      </w:tr>
    </w:tbl>
    <w:p>
      <w:pPr>
        <w:spacing w:before="0" w:after="60" w:line="259" w:lineRule="auto"/>
      </w:pPr>
      <w:r>
        <w:rPr>
          <w:rFonts w:ascii="Arial" w:hAnsi="Arial" w:eastAsia="Arial"/>
          <w:b/>
          <w:i w:val="0"/>
          <w:color w:val="183A5A"/>
          <w:sz w:val="20"/>
        </w:rPr>
        <w:t>Complete the explanation:</w:t>
      </w:r>
    </w:p>
    <w:p>
      <w:pPr>
        <w:spacing w:before="0" w:after="0" w:line="259" w:lineRule="auto"/>
      </w:pPr>
      <w:r>
        <w:rPr>
          <w:rFonts w:ascii="Arial" w:hAnsi="Arial" w:eastAsia="Arial"/>
          <w:b/>
          <w:i w:val="0"/>
          <w:color w:val="1D2A35"/>
          <w:sz w:val="19"/>
        </w:rPr>
        <w:t>Mullineux and Rowlingson support Weber’s idea of life chances because...</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People with greater wealth are more likely to...</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This can give their children greater opportunities to...</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Therefore, class inequality is reproduced because...</w:t>
      </w:r>
    </w:p>
    <w:p>
      <w:pPr>
        <w:spacing w:after="40"/>
      </w:pPr>
      <w:r>
        <w:rPr>
          <w:rFonts w:ascii="Arial" w:hAnsi="Arial"/>
          <w:color w:val="747C82"/>
          <w:sz w:val="19"/>
        </w:rPr>
        <w:t>_________________________________________________________________________________________</w:t>
      </w:r>
    </w:p>
    <w:p>
      <w:pPr>
        <w:pStyle w:val="Heading1"/>
        <w:spacing w:before="200" w:after="80" w:line="240" w:lineRule="auto"/>
        <w:jc w:val="left"/>
      </w:pPr>
      <w:r>
        <w:rPr>
          <w:rFonts w:ascii="Arial" w:hAnsi="Arial" w:eastAsia="Arial"/>
          <w:b/>
          <w:color w:val="183A5A"/>
          <w:sz w:val="30"/>
        </w:rPr>
        <w:t>Theory card B: Marxism</w:t>
      </w:r>
    </w:p>
    <w:tbl>
      <w:tblPr>
        <w:tblW w:type="auto" w:w="0"/>
        <w:jc w:val="center"/>
        <w:tblLook w:firstColumn="1" w:firstRow="1" w:lastColumn="0" w:lastRow="0" w:noHBand="0" w:noVBand="1" w:val="04A0"/>
      </w:tblPr>
      <w:tblGrid>
        <w:gridCol w:w="10037"/>
      </w:tblGrid>
      <w:tr>
        <w:tc>
          <w:tcPr>
            <w:tcW w:type="dxa" w:w="10037"/>
            <w:shd w:fill="FFF4D6"/>
            <w:tcMar>
              <w:top w:w="120" w:type="dxa"/>
              <w:start w:w="140" w:type="dxa"/>
              <w:bottom w:w="120" w:type="dxa"/>
              <w:end w:w="140" w:type="dxa"/>
            </w:tcMar>
            <w:tcBorders>
              <w:top w:val="single" w:sz="10" w:color="DDAE4A"/>
              <w:left w:val="single" w:sz="10" w:color="DDAE4A"/>
              <w:bottom w:val="single" w:sz="10" w:color="DDAE4A"/>
              <w:right w:val="single" w:sz="10" w:color="DDAE4A"/>
            </w:tcBorders>
          </w:tcPr>
          <w:p>
            <w:pPr>
              <w:spacing w:before="0" w:after="80" w:line="259" w:lineRule="auto"/>
            </w:pPr>
            <w:r>
              <w:rPr>
                <w:rFonts w:ascii="Arial" w:hAnsi="Arial" w:eastAsia="Arial"/>
                <w:b/>
                <w:i w:val="0"/>
                <w:color w:val="DDAE4A"/>
                <w:sz w:val="21"/>
              </w:rPr>
              <w:t>Marxist ideas</w:t>
            </w:r>
          </w:p>
          <w:p>
            <w:pPr>
              <w:spacing w:before="0" w:after="40" w:line="259" w:lineRule="auto"/>
            </w:pPr>
            <w:r>
              <w:rPr>
                <w:rFonts w:ascii="Arial" w:hAnsi="Arial" w:eastAsia="Arial"/>
                <w:b w:val="0"/>
                <w:i w:val="0"/>
                <w:color w:val="1D2A35"/>
                <w:sz w:val="19"/>
              </w:rPr>
              <w:t>Marxists focus on ownership. They argue that wealth and property are concentrated among a minority, who can pass advantage and power on to their children.</w:t>
            </w:r>
          </w:p>
          <w:p>
            <w:pPr>
              <w:spacing w:before="0" w:after="40" w:line="259" w:lineRule="auto"/>
            </w:pPr>
            <w:r>
              <w:rPr>
                <w:rFonts w:ascii="Arial" w:hAnsi="Arial" w:eastAsia="Arial"/>
                <w:b w:val="0"/>
                <w:i w:val="0"/>
                <w:color w:val="1D2A35"/>
                <w:sz w:val="19"/>
              </w:rPr>
              <w:t>Use inheritance, property ownership and political influence in your explanation.</w:t>
            </w:r>
          </w:p>
        </w:tc>
      </w:tr>
    </w:tbl>
    <w:p>
      <w:pPr>
        <w:spacing w:before="0" w:after="60" w:line="259" w:lineRule="auto"/>
      </w:pPr>
      <w:r>
        <w:rPr>
          <w:rFonts w:ascii="Arial" w:hAnsi="Arial" w:eastAsia="Arial"/>
          <w:b/>
          <w:i w:val="0"/>
          <w:color w:val="183A5A"/>
          <w:sz w:val="20"/>
        </w:rPr>
        <w:t>Why might a Marxist view inheritance as unfair?</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5</w:t>
            </w:r>
          </w:p>
        </w:tc>
      </w:tr>
    </w:tbl>
    <w:p>
      <w:pPr>
        <w:spacing w:before="200" w:after="80" w:line="240" w:lineRule="auto"/>
      </w:pPr>
      <w:r>
        <w:rPr>
          <w:rFonts w:ascii="Arial" w:hAnsi="Arial" w:eastAsia="Arial"/>
          <w:b/>
          <w:i w:val="0"/>
          <w:color w:val="183A5A"/>
          <w:sz w:val="50"/>
        </w:rPr>
        <w:t>Is wealth inequality compatible with meritocracy?</w:t>
      </w:r>
    </w:p>
    <w:p>
      <w:pPr>
        <w:spacing w:before="0" w:after="160" w:line="259" w:lineRule="auto"/>
      </w:pPr>
      <w:r>
        <w:rPr>
          <w:rFonts w:ascii="Arial" w:hAnsi="Arial" w:eastAsia="Arial"/>
          <w:b w:val="0"/>
          <w:i w:val="0"/>
          <w:color w:val="53606B"/>
          <w:sz w:val="22"/>
        </w:rPr>
        <w:t>Use evidence and counter-arguments before you decide.</w:t>
      </w:r>
    </w:p>
    <w:tbl>
      <w:tblPr>
        <w:tblW w:type="auto" w:w="0"/>
        <w:jc w:val="center"/>
        <w:tblLook w:firstColumn="1" w:firstRow="1" w:lastColumn="0" w:lastRow="0" w:noHBand="0" w:noVBand="1" w:val="04A0"/>
      </w:tblPr>
      <w:tblGrid>
        <w:gridCol w:w="10037"/>
      </w:tblGrid>
      <w:tr>
        <w:tc>
          <w:tcPr>
            <w:tcW w:type="dxa" w:w="10037"/>
            <w:shd w:fill="FFF4D6"/>
            <w:tcMar>
              <w:top w:w="120" w:type="dxa"/>
              <w:start w:w="140" w:type="dxa"/>
              <w:bottom w:w="120" w:type="dxa"/>
              <w:end w:w="140" w:type="dxa"/>
            </w:tcMar>
            <w:tcBorders>
              <w:top w:val="single" w:sz="10" w:color="DDAE4A"/>
              <w:left w:val="single" w:sz="10" w:color="DDAE4A"/>
              <w:bottom w:val="single" w:sz="10" w:color="DDAE4A"/>
              <w:right w:val="single" w:sz="10" w:color="DDAE4A"/>
            </w:tcBorders>
          </w:tcPr>
          <w:p>
            <w:pPr>
              <w:spacing w:before="0" w:after="80" w:line="259" w:lineRule="auto"/>
            </w:pPr>
            <w:r>
              <w:rPr>
                <w:rFonts w:ascii="Arial" w:hAnsi="Arial" w:eastAsia="Arial"/>
                <w:b/>
                <w:i w:val="0"/>
                <w:color w:val="DDAE4A"/>
                <w:sz w:val="21"/>
              </w:rPr>
              <w:t>The statement</w:t>
            </w:r>
          </w:p>
          <w:p>
            <w:pPr>
              <w:spacing w:before="0" w:after="40" w:line="259" w:lineRule="auto"/>
            </w:pPr>
            <w:r>
              <w:rPr>
                <w:rFonts w:ascii="Arial" w:hAnsi="Arial" w:eastAsia="Arial"/>
                <w:b w:val="0"/>
                <w:i w:val="0"/>
                <w:color w:val="1D2A35"/>
                <w:sz w:val="19"/>
              </w:rPr>
              <w:t>“Wealth inequality does not matter as long as everyone has the chance to work hard and succeed.”</w:t>
            </w:r>
          </w:p>
        </w:tc>
      </w:tr>
    </w:tbl>
    <w:p>
      <w:pPr>
        <w:pStyle w:val="Heading1"/>
        <w:spacing w:before="200" w:after="80" w:line="240" w:lineRule="auto"/>
        <w:jc w:val="left"/>
      </w:pPr>
      <w:r>
        <w:rPr>
          <w:rFonts w:ascii="Arial" w:hAnsi="Arial" w:eastAsia="Arial"/>
          <w:b/>
          <w:color w:val="183A5A"/>
          <w:sz w:val="30"/>
        </w:rPr>
        <w:t>Task 1: Take a position</w:t>
      </w:r>
    </w:p>
    <w:tbl>
      <w:tblPr>
        <w:tblW w:type="auto" w:w="0"/>
        <w:jc w:val="center"/>
        <w:tblLook w:firstColumn="1" w:firstRow="1" w:lastColumn="0" w:lastRow="0" w:noHBand="0" w:noVBand="1" w:val="04A0"/>
      </w:tblPr>
      <w:tblGrid>
        <w:gridCol w:w="2007"/>
        <w:gridCol w:w="2007"/>
        <w:gridCol w:w="2007"/>
        <w:gridCol w:w="2007"/>
        <w:gridCol w:w="2007"/>
      </w:tblGrid>
      <w:tr>
        <w:tc>
          <w:tcPr>
            <w:tcW w:type="dxa" w:w="2007"/>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6"/>
              </w:rPr>
              <w:t>Strongly agree</w:t>
            </w:r>
          </w:p>
          <w:p>
            <w:pPr>
              <w:spacing w:before="0" w:after="0" w:line="259" w:lineRule="auto"/>
              <w:jc w:val="center"/>
            </w:pPr>
            <w:r>
              <w:rPr>
                <w:rFonts w:ascii="Arial" w:hAnsi="Arial" w:eastAsia="Arial"/>
                <w:b w:val="0"/>
                <w:i w:val="0"/>
                <w:color w:val="2D7D7B"/>
                <w:sz w:val="32"/>
              </w:rPr>
              <w:t>○</w:t>
            </w:r>
          </w:p>
        </w:tc>
        <w:tc>
          <w:tcPr>
            <w:tcW w:type="dxa" w:w="2007"/>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6"/>
              </w:rPr>
              <w:t>Agree</w:t>
            </w:r>
          </w:p>
          <w:p>
            <w:pPr>
              <w:spacing w:before="0" w:after="0" w:line="259" w:lineRule="auto"/>
              <w:jc w:val="center"/>
            </w:pPr>
            <w:r>
              <w:rPr>
                <w:rFonts w:ascii="Arial" w:hAnsi="Arial" w:eastAsia="Arial"/>
                <w:b w:val="0"/>
                <w:i w:val="0"/>
                <w:color w:val="2D7D7B"/>
                <w:sz w:val="32"/>
              </w:rPr>
              <w:t>○</w:t>
            </w:r>
          </w:p>
        </w:tc>
        <w:tc>
          <w:tcPr>
            <w:tcW w:type="dxa" w:w="2007"/>
            <w:shd w:fill="FFF4D6"/>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6"/>
              </w:rPr>
              <w:t>Unsure</w:t>
            </w:r>
          </w:p>
          <w:p>
            <w:pPr>
              <w:spacing w:before="0" w:after="0" w:line="259" w:lineRule="auto"/>
              <w:jc w:val="center"/>
            </w:pPr>
            <w:r>
              <w:rPr>
                <w:rFonts w:ascii="Arial" w:hAnsi="Arial" w:eastAsia="Arial"/>
                <w:b w:val="0"/>
                <w:i w:val="0"/>
                <w:color w:val="2D7D7B"/>
                <w:sz w:val="32"/>
              </w:rPr>
              <w:t>○</w:t>
            </w:r>
          </w:p>
        </w:tc>
        <w:tc>
          <w:tcPr>
            <w:tcW w:type="dxa" w:w="2007"/>
            <w:shd w:fill="EEF4F8"/>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6"/>
              </w:rPr>
              <w:t>Disagree</w:t>
            </w:r>
          </w:p>
          <w:p>
            <w:pPr>
              <w:spacing w:before="0" w:after="0" w:line="259" w:lineRule="auto"/>
              <w:jc w:val="center"/>
            </w:pPr>
            <w:r>
              <w:rPr>
                <w:rFonts w:ascii="Arial" w:hAnsi="Arial" w:eastAsia="Arial"/>
                <w:b w:val="0"/>
                <w:i w:val="0"/>
                <w:color w:val="2D7D7B"/>
                <w:sz w:val="32"/>
              </w:rPr>
              <w:t>○</w:t>
            </w:r>
          </w:p>
        </w:tc>
        <w:tc>
          <w:tcPr>
            <w:tcW w:type="dxa" w:w="2007"/>
            <w:shd w:fill="EEF4F8"/>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6"/>
              </w:rPr>
              <w:t>Strongly disagree</w:t>
            </w:r>
          </w:p>
          <w:p>
            <w:pPr>
              <w:spacing w:before="0" w:after="0" w:line="259" w:lineRule="auto"/>
              <w:jc w:val="center"/>
            </w:pPr>
            <w:r>
              <w:rPr>
                <w:rFonts w:ascii="Arial" w:hAnsi="Arial" w:eastAsia="Arial"/>
                <w:b w:val="0"/>
                <w:i w:val="0"/>
                <w:color w:val="2D7D7B"/>
                <w:sz w:val="32"/>
              </w:rPr>
              <w:t>○</w:t>
            </w:r>
          </w:p>
        </w:tc>
      </w:tr>
    </w:tbl>
    <w:p>
      <w:pPr>
        <w:pStyle w:val="Heading1"/>
        <w:spacing w:before="200" w:after="80" w:line="240" w:lineRule="auto"/>
        <w:jc w:val="left"/>
      </w:pPr>
      <w:r>
        <w:rPr>
          <w:rFonts w:ascii="Arial" w:hAnsi="Arial" w:eastAsia="Arial"/>
          <w:b/>
          <w:color w:val="183A5A"/>
          <w:sz w:val="30"/>
        </w:rPr>
        <w:t>Task 2: Justify your position</w:t>
      </w:r>
    </w:p>
    <w:p>
      <w:pPr>
        <w:spacing w:before="0" w:after="80" w:line="259" w:lineRule="auto"/>
      </w:pPr>
      <w:r>
        <w:rPr>
          <w:rFonts w:ascii="Arial" w:hAnsi="Arial" w:eastAsia="Arial"/>
          <w:b w:val="0"/>
          <w:i w:val="0"/>
          <w:color w:val="1D2A35"/>
          <w:sz w:val="20"/>
        </w:rPr>
        <w:t xml:space="preserve">You must include </w:t>
      </w:r>
      <w:r>
        <w:rPr>
          <w:rFonts w:ascii="Arial" w:hAnsi="Arial" w:eastAsia="Arial"/>
          <w:b/>
          <w:i w:val="0"/>
          <w:color w:val="183A5A"/>
          <w:sz w:val="20"/>
        </w:rPr>
        <w:t>one piece of evidence from the report, one sociological theory and one counter-argument.</w:t>
      </w:r>
    </w:p>
    <w:p>
      <w:pPr>
        <w:spacing w:before="0" w:after="0" w:line="259" w:lineRule="auto"/>
      </w:pPr>
      <w:r>
        <w:rPr>
          <w:rFonts w:ascii="Arial" w:hAnsi="Arial" w:eastAsia="Arial"/>
          <w:b/>
          <w:i w:val="0"/>
          <w:color w:val="1D2A35"/>
          <w:sz w:val="19"/>
        </w:rPr>
        <w:t>The report suggests that wealth inequality matters because...</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This challenges the idea of meritocracy because...</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Weber would argue that...</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Marxists would argue that...</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On the other hand, New Right thinkers may claim that...</w:t>
      </w:r>
    </w:p>
    <w:p>
      <w:pPr>
        <w:spacing w:after="40"/>
      </w:pPr>
      <w:r>
        <w:rPr>
          <w:rFonts w:ascii="Arial" w:hAnsi="Arial"/>
          <w:color w:val="747C82"/>
          <w:sz w:val="19"/>
        </w:rPr>
        <w:t>_________________________________________________________________________________________</w:t>
      </w:r>
    </w:p>
    <w:p>
      <w:pPr>
        <w:spacing w:before="0" w:after="0" w:line="259" w:lineRule="auto"/>
      </w:pPr>
      <w:r>
        <w:rPr>
          <w:rFonts w:ascii="Arial" w:hAnsi="Arial" w:eastAsia="Arial"/>
          <w:b/>
          <w:i w:val="0"/>
          <w:color w:val="1D2A35"/>
          <w:sz w:val="19"/>
        </w:rPr>
        <w:t>Overall, wealth inequality is important / not important because...</w:t>
      </w:r>
    </w:p>
    <w:p>
      <w:pPr>
        <w:spacing w:after="40"/>
      </w:pPr>
      <w:r>
        <w:rPr>
          <w:rFonts w:ascii="Arial" w:hAnsi="Arial"/>
          <w:color w:val="747C82"/>
          <w:sz w:val="19"/>
        </w:rPr>
        <w:t>_________________________________________________________________________________________</w:t>
      </w:r>
    </w:p>
    <w:p>
      <w:pPr>
        <w:pStyle w:val="Heading1"/>
        <w:spacing w:before="200" w:after="80" w:line="240" w:lineRule="auto"/>
        <w:jc w:val="left"/>
      </w:pPr>
      <w:r>
        <w:rPr>
          <w:rFonts w:ascii="Arial" w:hAnsi="Arial" w:eastAsia="Arial"/>
          <w:b/>
          <w:color w:val="183A5A"/>
          <w:sz w:val="30"/>
        </w:rPr>
        <w:t>Task 3: Peer-check</w:t>
      </w:r>
    </w:p>
    <w:p>
      <w:pPr>
        <w:spacing w:before="0" w:after="40" w:line="259" w:lineRule="auto"/>
      </w:pPr>
      <w:r>
        <w:rPr>
          <w:rFonts w:ascii="Arial" w:hAnsi="Arial" w:eastAsia="Arial"/>
          <w:b/>
          <w:i w:val="0"/>
          <w:color w:val="2D7D7B"/>
          <w:sz w:val="21"/>
        </w:rPr>
        <w:t xml:space="preserve">□ </w:t>
      </w:r>
      <w:r>
        <w:rPr>
          <w:rFonts w:ascii="Arial" w:hAnsi="Arial" w:eastAsia="Arial"/>
          <w:b w:val="0"/>
          <w:i w:val="0"/>
          <w:color w:val="1D2A35"/>
          <w:sz w:val="19"/>
        </w:rPr>
        <w:t>I used a precise detail from Mullineux and Rowlingson (2013).</w:t>
      </w:r>
    </w:p>
    <w:p>
      <w:pPr>
        <w:spacing w:before="0" w:after="40" w:line="259" w:lineRule="auto"/>
      </w:pPr>
      <w:r>
        <w:rPr>
          <w:rFonts w:ascii="Arial" w:hAnsi="Arial" w:eastAsia="Arial"/>
          <w:b/>
          <w:i w:val="0"/>
          <w:color w:val="2D7D7B"/>
          <w:sz w:val="21"/>
        </w:rPr>
        <w:t xml:space="preserve">□ </w:t>
      </w:r>
      <w:r>
        <w:rPr>
          <w:rFonts w:ascii="Arial" w:hAnsi="Arial" w:eastAsia="Arial"/>
          <w:b w:val="0"/>
          <w:i w:val="0"/>
          <w:color w:val="1D2A35"/>
          <w:sz w:val="19"/>
        </w:rPr>
        <w:t>I explained a link between wealth and life chances.</w:t>
      </w:r>
    </w:p>
    <w:p>
      <w:pPr>
        <w:spacing w:before="0" w:after="40" w:line="259" w:lineRule="auto"/>
      </w:pPr>
      <w:r>
        <w:rPr>
          <w:rFonts w:ascii="Arial" w:hAnsi="Arial" w:eastAsia="Arial"/>
          <w:b/>
          <w:i w:val="0"/>
          <w:color w:val="2D7D7B"/>
          <w:sz w:val="21"/>
        </w:rPr>
        <w:t xml:space="preserve">□ </w:t>
      </w:r>
      <w:r>
        <w:rPr>
          <w:rFonts w:ascii="Arial" w:hAnsi="Arial" w:eastAsia="Arial"/>
          <w:b w:val="0"/>
          <w:i w:val="0"/>
          <w:color w:val="1D2A35"/>
          <w:sz w:val="19"/>
        </w:rPr>
        <w:t>I applied theory rather than simply named it.</w:t>
      </w:r>
    </w:p>
    <w:p>
      <w:pPr>
        <w:spacing w:before="0" w:after="40" w:line="259" w:lineRule="auto"/>
      </w:pPr>
      <w:r>
        <w:rPr>
          <w:rFonts w:ascii="Arial" w:hAnsi="Arial" w:eastAsia="Arial"/>
          <w:b/>
          <w:i w:val="0"/>
          <w:color w:val="2D7D7B"/>
          <w:sz w:val="21"/>
        </w:rPr>
        <w:t xml:space="preserve">□ </w:t>
      </w:r>
      <w:r>
        <w:rPr>
          <w:rFonts w:ascii="Arial" w:hAnsi="Arial" w:eastAsia="Arial"/>
          <w:b w:val="0"/>
          <w:i w:val="0"/>
          <w:color w:val="1D2A35"/>
          <w:sz w:val="19"/>
        </w:rPr>
        <w:t>I included a counter-argument before reaching a judgement.</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STUDENT WORKSHEET | PART 6</w:t>
            </w:r>
          </w:p>
        </w:tc>
      </w:tr>
    </w:tbl>
    <w:p>
      <w:pPr>
        <w:spacing w:before="200" w:after="80" w:line="240" w:lineRule="auto"/>
      </w:pPr>
      <w:r>
        <w:rPr>
          <w:rFonts w:ascii="Arial" w:hAnsi="Arial" w:eastAsia="Arial"/>
          <w:b/>
          <w:i w:val="0"/>
          <w:color w:val="183A5A"/>
          <w:sz w:val="50"/>
        </w:rPr>
        <w:t>OCR-style writing challenge</w:t>
      </w:r>
    </w:p>
    <w:p>
      <w:pPr>
        <w:spacing w:before="0" w:after="160" w:line="259" w:lineRule="auto"/>
      </w:pPr>
      <w:r>
        <w:rPr>
          <w:rFonts w:ascii="Arial" w:hAnsi="Arial" w:eastAsia="Arial"/>
          <w:b w:val="0"/>
          <w:i w:val="0"/>
          <w:color w:val="53606B"/>
          <w:sz w:val="22"/>
        </w:rPr>
        <w:t>Use the report as evidence, then analyse how class inequalities continue.</w:t>
      </w:r>
    </w:p>
    <w:tbl>
      <w:tblPr>
        <w:tblW w:type="auto" w:w="0"/>
        <w:jc w:val="center"/>
        <w:tblLook w:firstColumn="1" w:firstRow="1" w:lastColumn="0" w:lastRow="0" w:noHBand="0" w:noVBand="1" w:val="04A0"/>
      </w:tblPr>
      <w:tblGrid>
        <w:gridCol w:w="10037"/>
      </w:tblGrid>
      <w:tr>
        <w:tc>
          <w:tcPr>
            <w:tcW w:type="dxa" w:w="10037"/>
            <w:shd w:fill="EEF4F8"/>
            <w:tcMar>
              <w:top w:w="120" w:type="dxa"/>
              <w:start w:w="140" w:type="dxa"/>
              <w:bottom w:w="120" w:type="dxa"/>
              <w:end w:w="140" w:type="dxa"/>
            </w:tcMar>
            <w:tcBorders>
              <w:top w:val="single" w:sz="10" w:color="183A5A"/>
              <w:left w:val="single" w:sz="10" w:color="183A5A"/>
              <w:bottom w:val="single" w:sz="10" w:color="183A5A"/>
              <w:right w:val="single" w:sz="10" w:color="183A5A"/>
            </w:tcBorders>
          </w:tcPr>
          <w:p>
            <w:pPr>
              <w:spacing w:before="0" w:after="80" w:line="259" w:lineRule="auto"/>
            </w:pPr>
            <w:r>
              <w:rPr>
                <w:rFonts w:ascii="Arial" w:hAnsi="Arial" w:eastAsia="Arial"/>
                <w:b/>
                <w:i w:val="0"/>
                <w:color w:val="183A5A"/>
                <w:sz w:val="21"/>
              </w:rPr>
              <w:t>Exam question</w:t>
            </w:r>
          </w:p>
          <w:p>
            <w:pPr>
              <w:spacing w:before="0" w:after="40" w:line="259" w:lineRule="auto"/>
            </w:pPr>
            <w:r>
              <w:rPr>
                <w:rFonts w:ascii="Arial" w:hAnsi="Arial" w:eastAsia="Arial"/>
                <w:b w:val="0"/>
                <w:i w:val="0"/>
                <w:color w:val="1D2A35"/>
                <w:sz w:val="19"/>
              </w:rPr>
              <w:t>Using evidence from Mullineux and Rowlingson (2013), explain how wealth inequality may reproduce social class inequality.</w:t>
            </w:r>
          </w:p>
        </w:tc>
      </w:tr>
    </w:tbl>
    <w:p>
      <w:pPr>
        <w:pStyle w:val="Heading1"/>
        <w:spacing w:before="200" w:after="80" w:line="240" w:lineRule="auto"/>
        <w:jc w:val="left"/>
      </w:pPr>
      <w:r>
        <w:rPr>
          <w:rFonts w:ascii="Arial" w:hAnsi="Arial" w:eastAsia="Arial"/>
          <w:b/>
          <w:color w:val="183A5A"/>
          <w:sz w:val="30"/>
        </w:rPr>
        <w:t>Writing scaffold</w:t>
      </w:r>
    </w:p>
    <w:tbl>
      <w:tblPr>
        <w:tblW w:type="auto" w:w="0"/>
        <w:jc w:val="center"/>
        <w:tblLook w:firstColumn="1" w:firstRow="1" w:lastColumn="0" w:lastRow="0" w:noHBand="0" w:noVBand="1" w:val="04A0"/>
      </w:tblPr>
      <w:tblGrid>
        <w:gridCol w:w="5018"/>
        <w:gridCol w:w="5018"/>
      </w:tblGrid>
      <w:tr>
        <w:trPr>
          <w:tblHeader w:val="true"/>
        </w:trPr>
        <w:tc>
          <w:tcPr>
            <w:tcW w:type="dxa" w:w="5018"/>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Stage</w:t>
            </w:r>
          </w:p>
        </w:tc>
        <w:tc>
          <w:tcPr>
            <w:tcW w:type="dxa" w:w="5018"/>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Your sentence</w:t>
            </w:r>
          </w:p>
        </w:tc>
      </w:tr>
      <w:tr>
        <w:trPr>
          <w:cantSpli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Point</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t>Wealth inequality can reproduce social class inequality because...</w:t>
            </w:r>
          </w:p>
        </w:tc>
      </w:tr>
      <w:tr>
        <w:trPr>
          <w:cantSpli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Evidence</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t>Mullineux and Rowlingson found / argued that...</w:t>
            </w:r>
          </w:p>
        </w:tc>
      </w:tr>
      <w:tr>
        <w:trPr>
          <w:cantSpli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Explain</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t>This matters because...</w:t>
            </w:r>
          </w:p>
        </w:tc>
      </w:tr>
      <w:tr>
        <w:trPr>
          <w:cantSpli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Develop</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t>For example...</w:t>
            </w:r>
          </w:p>
        </w:tc>
      </w:tr>
      <w:tr>
        <w:trPr>
          <w:cantSpli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Link to theory</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t>This supports Weber’s idea of life chances / a Marxist view of class reproduction because...</w:t>
            </w:r>
          </w:p>
        </w:tc>
      </w:tr>
      <w:tr>
        <w:trPr>
          <w:cantSplit/>
        </w:trPr>
        <w:tc>
          <w:tcPr>
            <w:tcW w:type="dxa" w:w="5018"/>
            <w:shd w:fill="EAF5F3"/>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83A5A"/>
                <w:sz w:val="18"/>
              </w:rPr>
              <w:t>Mini-judgement</w:t>
            </w:r>
          </w:p>
        </w:tc>
        <w:tc>
          <w:tcPr>
            <w:tcW w:type="dxa" w:w="5018"/>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val="0"/>
                <w:i w:val="0"/>
                <w:color w:val="1D2A35"/>
                <w:sz w:val="18"/>
              </w:rPr>
              <w:t>Therefore...</w:t>
            </w:r>
          </w:p>
        </w:tc>
      </w:tr>
    </w:tbl>
    <w:p>
      <w:pPr>
        <w:pStyle w:val="Heading1"/>
        <w:spacing w:before="200" w:after="80" w:line="240" w:lineRule="auto"/>
        <w:jc w:val="left"/>
      </w:pPr>
      <w:r>
        <w:rPr>
          <w:rFonts w:ascii="Arial" w:hAnsi="Arial" w:eastAsia="Arial"/>
          <w:b/>
          <w:color w:val="183A5A"/>
          <w:sz w:val="30"/>
        </w:rPr>
        <w:t>Write your developed paragraph</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pPr>
        <w:pStyle w:val="Heading1"/>
        <w:spacing w:before="200" w:after="80" w:line="240" w:lineRule="auto"/>
        <w:jc w:val="left"/>
      </w:pPr>
      <w:r>
        <w:rPr>
          <w:rFonts w:ascii="Arial" w:hAnsi="Arial" w:eastAsia="Arial"/>
          <w:b/>
          <w:color w:val="183A5A"/>
          <w:sz w:val="30"/>
        </w:rPr>
        <w:t>One-minute conclusion</w:t>
      </w:r>
    </w:p>
    <w:p>
      <w:pPr>
        <w:spacing w:before="0" w:after="40" w:line="259" w:lineRule="auto"/>
      </w:pPr>
      <w:r>
        <w:rPr>
          <w:rFonts w:ascii="Arial" w:hAnsi="Arial" w:eastAsia="Arial"/>
          <w:b/>
          <w:i w:val="0"/>
          <w:color w:val="183A5A"/>
          <w:sz w:val="20"/>
        </w:rPr>
        <w:t>Mullineux and Rowlingson show that social class inequality is not only about income because...</w:t>
      </w:r>
    </w:p>
    <w:p>
      <w:pPr>
        <w:spacing w:after="40"/>
      </w:pPr>
      <w:r>
        <w:rPr>
          <w:rFonts w:ascii="Arial" w:hAnsi="Arial"/>
          <w:color w:val="747C82"/>
          <w:sz w:val="19"/>
        </w:rPr>
        <w:t>_________________________________________________________________________________________</w:t>
      </w:r>
    </w:p>
    <w:p>
      <w:pPr>
        <w:spacing w:after="40"/>
      </w:pPr>
      <w:r>
        <w:rPr>
          <w:rFonts w:ascii="Arial" w:hAnsi="Arial"/>
          <w:color w:val="747C82"/>
          <w:sz w:val="19"/>
        </w:rPr>
        <w:t>_________________________________________________________________________________________</w:t>
      </w:r>
    </w:p>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TEACHER PAGES</w:t>
            </w:r>
          </w:p>
        </w:tc>
      </w:tr>
    </w:tbl>
    <w:p>
      <w:pPr>
        <w:spacing w:before="200" w:after="80" w:line="240" w:lineRule="auto"/>
      </w:pPr>
      <w:r>
        <w:rPr>
          <w:rFonts w:ascii="Arial" w:hAnsi="Arial" w:eastAsia="Arial"/>
          <w:b/>
          <w:i w:val="0"/>
          <w:color w:val="183A5A"/>
          <w:sz w:val="50"/>
        </w:rPr>
        <w:t>Answer guide and teaching notes</w:t>
      </w:r>
    </w:p>
    <w:p>
      <w:pPr>
        <w:spacing w:before="0" w:after="160" w:line="259" w:lineRule="auto"/>
      </w:pPr>
      <w:r>
        <w:rPr>
          <w:rFonts w:ascii="Arial" w:hAnsi="Arial" w:eastAsia="Arial"/>
          <w:b w:val="0"/>
          <w:i w:val="0"/>
          <w:color w:val="53606B"/>
          <w:sz w:val="22"/>
        </w:rPr>
        <w:t>Use after the activity for feedback, modelling or revision.</w:t>
      </w:r>
    </w:p>
    <w:p>
      <w:pPr>
        <w:pStyle w:val="Heading1"/>
        <w:spacing w:before="200" w:after="80" w:line="240" w:lineRule="auto"/>
        <w:jc w:val="left"/>
      </w:pPr>
      <w:r>
        <w:rPr>
          <w:rFonts w:ascii="Arial" w:hAnsi="Arial" w:eastAsia="Arial"/>
          <w:b/>
          <w:color w:val="183A5A"/>
          <w:sz w:val="30"/>
        </w:rPr>
        <w:t>Card sort: indicative categories</w:t>
      </w:r>
    </w:p>
    <w:tbl>
      <w:tblPr>
        <w:tblW w:type="auto" w:w="0"/>
        <w:jc w:val="center"/>
        <w:tblLook w:firstColumn="1" w:firstRow="1" w:lastColumn="0" w:lastRow="0" w:noHBand="0" w:noVBand="1" w:val="04A0"/>
      </w:tblPr>
      <w:tblGrid>
        <w:gridCol w:w="2509"/>
        <w:gridCol w:w="2509"/>
        <w:gridCol w:w="2509"/>
        <w:gridCol w:w="2509"/>
      </w:tblGrid>
      <w:tr>
        <w:trPr>
          <w:tblHeader w:val="true"/>
        </w:trPr>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Cards</w:t>
            </w:r>
          </w:p>
        </w:tc>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Accumulation</w:t>
            </w:r>
          </w:p>
        </w:tc>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Life chances</w:t>
            </w:r>
          </w:p>
        </w:tc>
        <w:tc>
          <w:tcPr>
            <w:tcW w:type="dxa" w:w="2509"/>
            <w:shd w:fill="183A5A"/>
            <w:tcMar>
              <w:top w:w="80" w:type="dxa"/>
              <w:start w:w="80" w:type="dxa"/>
              <w:bottom w:w="80" w:type="dxa"/>
              <w:end w:w="80" w:type="dxa"/>
            </w:tcMar>
            <w:tcBorders>
              <w:top w:val="single" w:sz="6" w:color="183A5A"/>
              <w:left w:val="single" w:sz="6" w:color="183A5A"/>
              <w:bottom w:val="single" w:sz="6" w:color="183A5A"/>
              <w:right w:val="single" w:sz="6" w:color="183A5A"/>
            </w:tcBorders>
          </w:tcPr>
          <w:p>
            <w:pPr>
              <w:spacing w:before="0" w:after="0" w:line="240" w:lineRule="auto"/>
              <w:jc w:val="left"/>
            </w:pPr>
            <w:r>
              <w:rPr>
                <w:rFonts w:ascii="Arial" w:hAnsi="Arial" w:eastAsia="Arial"/>
                <w:b/>
                <w:i w:val="0"/>
                <w:color w:val="FFFFFF"/>
                <w:sz w:val="18"/>
              </w:rPr>
              <w:t>Class reproduction</w:t>
            </w:r>
          </w:p>
        </w:tc>
      </w:tr>
      <w:tr>
        <w:trPr>
          <w:cantSplit/>
        </w:trPr>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1, 2</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3, 4</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5, 6</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7, 8</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9, 10</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11, 12</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13, 14</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3F5F7"/>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r>
        <w:trPr>
          <w:cantSplit/>
        </w:trPr>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left"/>
            </w:pPr>
            <w:r>
              <w:rPr>
                <w:rFonts w:ascii="Arial" w:hAnsi="Arial" w:eastAsia="Arial"/>
                <w:b/>
                <w:i w:val="0"/>
                <w:color w:val="1D2A35"/>
                <w:sz w:val="18"/>
              </w:rPr>
              <w:t>15, 16</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val="0"/>
                <w:i w:val="0"/>
                <w:color w:val="1D2A35"/>
                <w:sz w:val="18"/>
              </w:rPr>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c>
          <w:tcPr>
            <w:tcW w:type="dxa" w:w="2509"/>
            <w:shd w:fill="FFFFFF"/>
            <w:tcMar>
              <w:top w:w="90" w:type="dxa"/>
              <w:start w:w="90" w:type="dxa"/>
              <w:bottom w:w="90" w:type="dxa"/>
              <w:end w:w="90" w:type="dxa"/>
            </w:tcMar>
            <w:tcBorders>
              <w:top w:val="single" w:sz="4" w:color="C6CDD3"/>
              <w:left w:val="single" w:sz="4" w:color="C6CDD3"/>
              <w:bottom w:val="single" w:sz="4" w:color="C6CDD3"/>
              <w:right w:val="single" w:sz="4" w:color="C6CDD3"/>
            </w:tcBorders>
            <w:vAlign w:val="top"/>
          </w:tcPr>
          <w:p>
            <w:pPr>
              <w:spacing w:before="0" w:after="0" w:line="252" w:lineRule="auto"/>
              <w:jc w:val="center"/>
            </w:pPr>
            <w:r>
              <w:rPr>
                <w:rFonts w:ascii="Arial" w:hAnsi="Arial" w:eastAsia="Arial"/>
                <w:b/>
                <w:i w:val="0"/>
                <w:color w:val="183A5A"/>
                <w:sz w:val="18"/>
              </w:rPr>
              <w:t>✓</w:t>
            </w:r>
          </w:p>
        </w:tc>
      </w:tr>
    </w:tbl>
    <w:p>
      <w:pPr>
        <w:spacing w:before="40" w:after="120" w:line="240" w:lineRule="auto"/>
      </w:pPr>
      <w:r>
        <w:rPr>
          <w:rFonts w:ascii="Arial" w:hAnsi="Arial" w:eastAsia="Arial"/>
          <w:b w:val="0"/>
          <w:i/>
          <w:color w:val="59636D"/>
          <w:sz w:val="16"/>
        </w:rPr>
        <w:t>Indicative answers only. Encourage students to argue that some cards belong in more than one category when they can explain the connection clearly.</w:t>
      </w:r>
    </w:p>
    <w:p>
      <w:pPr>
        <w:pStyle w:val="Heading1"/>
        <w:spacing w:before="200" w:after="80" w:line="240" w:lineRule="auto"/>
        <w:jc w:val="left"/>
      </w:pPr>
      <w:r>
        <w:rPr>
          <w:rFonts w:ascii="Arial" w:hAnsi="Arial" w:eastAsia="Arial"/>
          <w:b/>
          <w:color w:val="183A5A"/>
          <w:sz w:val="30"/>
        </w:rPr>
        <w:t>Strong pathway ideas</w:t>
      </w:r>
    </w:p>
    <w:p>
      <w:pPr>
        <w:spacing w:before="0" w:after="40" w:line="257" w:lineRule="auto"/>
      </w:pPr>
      <w:r>
        <w:rPr>
          <w:rFonts w:ascii="Arial" w:hAnsi="Arial" w:eastAsia="Arial"/>
          <w:b/>
          <w:i w:val="0"/>
          <w:color w:val="183A5A"/>
          <w:sz w:val="19"/>
        </w:rPr>
        <w:t xml:space="preserve">Housing -&gt; education / work: </w:t>
      </w:r>
      <w:r>
        <w:rPr>
          <w:rFonts w:ascii="Arial" w:hAnsi="Arial" w:eastAsia="Arial"/>
          <w:b w:val="0"/>
          <w:i w:val="0"/>
          <w:color w:val="1D2A35"/>
          <w:sz w:val="19"/>
        </w:rPr>
        <w:t>Family property wealth can be used to help with rent or a deposit. This may reduce housing insecurity and enable a young person to study, take training or accept work in a more expensive area.</w:t>
      </w:r>
    </w:p>
    <w:p>
      <w:pPr>
        <w:spacing w:before="0" w:after="40" w:line="257" w:lineRule="auto"/>
      </w:pPr>
      <w:r>
        <w:rPr>
          <w:rFonts w:ascii="Arial" w:hAnsi="Arial" w:eastAsia="Arial"/>
          <w:b/>
          <w:i w:val="0"/>
          <w:color w:val="183A5A"/>
          <w:sz w:val="19"/>
        </w:rPr>
        <w:t xml:space="preserve">Savings -&gt; security: </w:t>
      </w:r>
      <w:r>
        <w:rPr>
          <w:rFonts w:ascii="Arial" w:hAnsi="Arial" w:eastAsia="Arial"/>
          <w:b w:val="0"/>
          <w:i w:val="0"/>
          <w:color w:val="1D2A35"/>
          <w:sz w:val="19"/>
        </w:rPr>
        <w:t>Savings can provide a cushion during unemployment or ill health. This reduces the risk of debt and gives people more time and choice when making employment decisions.</w:t>
      </w:r>
    </w:p>
    <w:p>
      <w:pPr>
        <w:spacing w:before="0" w:after="40" w:line="257" w:lineRule="auto"/>
      </w:pPr>
      <w:r>
        <w:rPr>
          <w:rFonts w:ascii="Arial" w:hAnsi="Arial" w:eastAsia="Arial"/>
          <w:b/>
          <w:i w:val="0"/>
          <w:color w:val="183A5A"/>
          <w:sz w:val="19"/>
        </w:rPr>
        <w:t xml:space="preserve">Inheritance -&gt; intergenerational advantage: </w:t>
      </w:r>
      <w:r>
        <w:rPr>
          <w:rFonts w:ascii="Arial" w:hAnsi="Arial" w:eastAsia="Arial"/>
          <w:b w:val="0"/>
          <w:i w:val="0"/>
          <w:color w:val="1D2A35"/>
          <w:sz w:val="19"/>
        </w:rPr>
        <w:t>Inherited money or property can help a young adult become a homeowner, avoid debt or fund education. That advantage may later be passed to their own children.</w:t>
      </w:r>
    </w:p>
    <w:p>
      <w:pPr>
        <w:spacing w:before="0" w:after="40" w:line="257" w:lineRule="auto"/>
      </w:pPr>
      <w:r>
        <w:rPr>
          <w:rFonts w:ascii="Arial" w:hAnsi="Arial" w:eastAsia="Arial"/>
          <w:b/>
          <w:i w:val="0"/>
          <w:color w:val="183A5A"/>
          <w:sz w:val="19"/>
        </w:rPr>
        <w:t xml:space="preserve">Wealth -&gt; political influence: </w:t>
      </w:r>
      <w:r>
        <w:rPr>
          <w:rFonts w:ascii="Arial" w:hAnsi="Arial" w:eastAsia="Arial"/>
          <w:b w:val="0"/>
          <w:i w:val="0"/>
          <w:color w:val="1D2A35"/>
          <w:sz w:val="19"/>
        </w:rPr>
        <w:t>The report suggests that concentrated wealth may give affluent groups greater political influence. This supports arguments that inequality can affect power as well as living standards.</w:t>
      </w:r>
    </w:p>
    <w:p>
      <w:pPr>
        <w:pStyle w:val="Heading1"/>
        <w:spacing w:before="200" w:after="80" w:line="240" w:lineRule="auto"/>
        <w:jc w:val="left"/>
      </w:pPr>
      <w:r>
        <w:rPr>
          <w:rFonts w:ascii="Arial" w:hAnsi="Arial" w:eastAsia="Arial"/>
          <w:b/>
          <w:color w:val="183A5A"/>
          <w:sz w:val="30"/>
        </w:rPr>
        <w:t>Theory application</w:t>
      </w:r>
    </w:p>
    <w:tbl>
      <w:tblPr>
        <w:tblW w:type="auto" w:w="0"/>
        <w:jc w:val="center"/>
        <w:tblLook w:firstColumn="1" w:firstRow="1" w:lastColumn="0" w:lastRow="0" w:noHBand="0" w:noVBand="1" w:val="04A0"/>
      </w:tblPr>
      <w:tblGrid>
        <w:gridCol w:w="10037"/>
      </w:tblGrid>
      <w:tr>
        <w:tc>
          <w:tcPr>
            <w:tcW w:type="dxa" w:w="10037"/>
            <w:shd w:fill="EAF5F3"/>
            <w:tcMar>
              <w:top w:w="120" w:type="dxa"/>
              <w:start w:w="140" w:type="dxa"/>
              <w:bottom w:w="120" w:type="dxa"/>
              <w:end w:w="140" w:type="dxa"/>
            </w:tcMar>
            <w:tcBorders>
              <w:top w:val="single" w:sz="10" w:color="2D7D7B"/>
              <w:left w:val="single" w:sz="10" w:color="2D7D7B"/>
              <w:bottom w:val="single" w:sz="10" w:color="2D7D7B"/>
              <w:right w:val="single" w:sz="10" w:color="2D7D7B"/>
            </w:tcBorders>
          </w:tcPr>
          <w:p>
            <w:pPr>
              <w:spacing w:before="0" w:after="80" w:line="259" w:lineRule="auto"/>
            </w:pPr>
            <w:r>
              <w:rPr>
                <w:rFonts w:ascii="Arial" w:hAnsi="Arial" w:eastAsia="Arial"/>
                <w:b/>
                <w:i w:val="0"/>
                <w:color w:val="2D7D7B"/>
                <w:sz w:val="21"/>
              </w:rPr>
              <w:t>Weber</w:t>
            </w:r>
          </w:p>
          <w:p>
            <w:pPr>
              <w:spacing w:before="0" w:after="40" w:line="259" w:lineRule="auto"/>
            </w:pPr>
            <w:r>
              <w:rPr>
                <w:rFonts w:ascii="Arial" w:hAnsi="Arial" w:eastAsia="Arial"/>
                <w:b w:val="0"/>
                <w:i w:val="0"/>
                <w:color w:val="1D2A35"/>
                <w:sz w:val="19"/>
              </w:rPr>
              <w:t>A Weberian explanation focuses on life chances. Wealth affects the opportunities people have in the market and the security they can draw upon during risk or hardship. Families with assets can support children into education, housing and employment, making class advantage more likely to continue.</w:t>
            </w:r>
          </w:p>
        </w:tc>
      </w:tr>
    </w:tbl>
    <w:tbl>
      <w:tblPr>
        <w:tblW w:type="auto" w:w="0"/>
        <w:jc w:val="center"/>
        <w:tblLook w:firstColumn="1" w:firstRow="1" w:lastColumn="0" w:lastRow="0" w:noHBand="0" w:noVBand="1" w:val="04A0"/>
      </w:tblPr>
      <w:tblGrid>
        <w:gridCol w:w="10037"/>
      </w:tblGrid>
      <w:tr>
        <w:tc>
          <w:tcPr>
            <w:tcW w:type="dxa" w:w="10037"/>
            <w:shd w:fill="FFF4D6"/>
            <w:tcMar>
              <w:top w:w="120" w:type="dxa"/>
              <w:start w:w="140" w:type="dxa"/>
              <w:bottom w:w="120" w:type="dxa"/>
              <w:end w:w="140" w:type="dxa"/>
            </w:tcMar>
            <w:tcBorders>
              <w:top w:val="single" w:sz="10" w:color="DDAE4A"/>
              <w:left w:val="single" w:sz="10" w:color="DDAE4A"/>
              <w:bottom w:val="single" w:sz="10" w:color="DDAE4A"/>
              <w:right w:val="single" w:sz="10" w:color="DDAE4A"/>
            </w:tcBorders>
          </w:tcPr>
          <w:p>
            <w:pPr>
              <w:spacing w:before="0" w:after="80" w:line="259" w:lineRule="auto"/>
            </w:pPr>
            <w:r>
              <w:rPr>
                <w:rFonts w:ascii="Arial" w:hAnsi="Arial" w:eastAsia="Arial"/>
                <w:b/>
                <w:i w:val="0"/>
                <w:color w:val="DDAE4A"/>
                <w:sz w:val="21"/>
              </w:rPr>
              <w:t>Marxism</w:t>
            </w:r>
          </w:p>
          <w:p>
            <w:pPr>
              <w:spacing w:before="0" w:after="40" w:line="259" w:lineRule="auto"/>
            </w:pPr>
            <w:r>
              <w:rPr>
                <w:rFonts w:ascii="Arial" w:hAnsi="Arial" w:eastAsia="Arial"/>
                <w:b w:val="0"/>
                <w:i w:val="0"/>
                <w:color w:val="1D2A35"/>
                <w:sz w:val="19"/>
              </w:rPr>
              <w:t>A Marxist explanation focuses on ownership and class power. Inheritance means that wealth can be transferred to people who have not earned it. This helps property-owning groups preserve advantages, reducing the plausibility of a fully meritocratic society.</w:t>
            </w:r>
          </w:p>
        </w:tc>
      </w:tr>
    </w:tbl>
    <w:tbl>
      <w:tblPr>
        <w:tblW w:type="auto" w:w="0"/>
        <w:jc w:val="center"/>
        <w:tblLook w:firstColumn="1" w:firstRow="1" w:lastColumn="0" w:lastRow="0" w:noHBand="0" w:noVBand="1" w:val="04A0"/>
      </w:tblPr>
      <w:tblGrid>
        <w:gridCol w:w="10037"/>
      </w:tblGrid>
      <w:tr>
        <w:tc>
          <w:tcPr>
            <w:tcW w:type="dxa" w:w="10037"/>
            <w:shd w:fill="EEF4F8"/>
            <w:tcMar>
              <w:top w:w="120" w:type="dxa"/>
              <w:start w:w="140" w:type="dxa"/>
              <w:bottom w:w="120" w:type="dxa"/>
              <w:end w:w="140" w:type="dxa"/>
            </w:tcMar>
            <w:tcBorders>
              <w:top w:val="single" w:sz="10" w:color="183A5A"/>
              <w:left w:val="single" w:sz="10" w:color="183A5A"/>
              <w:bottom w:val="single" w:sz="10" w:color="183A5A"/>
              <w:right w:val="single" w:sz="10" w:color="183A5A"/>
            </w:tcBorders>
          </w:tcPr>
          <w:p>
            <w:pPr>
              <w:spacing w:before="0" w:after="80" w:line="259" w:lineRule="auto"/>
            </w:pPr>
            <w:r>
              <w:rPr>
                <w:rFonts w:ascii="Arial" w:hAnsi="Arial" w:eastAsia="Arial"/>
                <w:b/>
                <w:i w:val="0"/>
                <w:color w:val="183A5A"/>
                <w:sz w:val="21"/>
              </w:rPr>
              <w:t>New Right counterpoint</w:t>
            </w:r>
          </w:p>
          <w:p>
            <w:pPr>
              <w:spacing w:before="0" w:after="40" w:line="259" w:lineRule="auto"/>
            </w:pPr>
            <w:r>
              <w:rPr>
                <w:rFonts w:ascii="Arial" w:hAnsi="Arial" w:eastAsia="Arial"/>
                <w:b w:val="0"/>
                <w:i w:val="0"/>
                <w:color w:val="1D2A35"/>
                <w:sz w:val="19"/>
              </w:rPr>
              <w:t>A New Right response may stress choice, effort, saving and entrepreneurship. However, the report highlights that people do not begin from equal positions: inheritance, property ownership and debt shape the capacity to save and take risks.</w:t>
            </w:r>
          </w:p>
        </w:tc>
      </w:tr>
    </w:tbl>
    <w:p>
      <w:r>
        <w:br w:type="page"/>
      </w:r>
    </w:p>
    <w:tbl>
      <w:tblPr>
        <w:tblW w:type="auto" w:w="0"/>
        <w:jc w:val="left"/>
        <w:tblLook w:firstColumn="1" w:firstRow="1" w:lastColumn="0" w:lastRow="0" w:noHBand="0" w:noVBand="1" w:val="04A0"/>
      </w:tblPr>
      <w:tblGrid>
        <w:gridCol w:w="10037"/>
      </w:tblGrid>
      <w:tr>
        <w:tc>
          <w:tcPr>
            <w:tcW w:type="dxa" w:w="10037"/>
            <w:shd w:fill="DDAE4A"/>
            <w:tcMar>
              <w:top w:w="70" w:type="dxa"/>
              <w:start w:w="100" w:type="dxa"/>
              <w:bottom w:w="70" w:type="dxa"/>
              <w:end w:w="100" w:type="dxa"/>
            </w:tcMar>
            <w:tcBorders>
              <w:top w:val="single" w:sz="4" w:color="DDAE4A"/>
              <w:left w:val="single" w:sz="4" w:color="DDAE4A"/>
              <w:bottom w:val="single" w:sz="4" w:color="DDAE4A"/>
              <w:right w:val="single" w:sz="4" w:color="DDAE4A"/>
            </w:tcBorders>
          </w:tcPr>
          <w:p>
            <w:pPr>
              <w:spacing w:before="0" w:after="0" w:line="240" w:lineRule="auto"/>
              <w:jc w:val="left"/>
            </w:pPr>
            <w:r>
              <w:rPr>
                <w:rFonts w:ascii="Arial" w:hAnsi="Arial" w:eastAsia="Arial"/>
                <w:b/>
                <w:i w:val="0"/>
                <w:color w:val="FFFFFF"/>
                <w:sz w:val="17"/>
              </w:rPr>
              <w:t>TEACHER PAGES</w:t>
            </w:r>
          </w:p>
        </w:tc>
      </w:tr>
    </w:tbl>
    <w:p>
      <w:pPr>
        <w:spacing w:before="200" w:after="80" w:line="240" w:lineRule="auto"/>
      </w:pPr>
      <w:r>
        <w:rPr>
          <w:rFonts w:ascii="Arial" w:hAnsi="Arial" w:eastAsia="Arial"/>
          <w:b/>
          <w:i w:val="0"/>
          <w:color w:val="183A5A"/>
          <w:sz w:val="50"/>
        </w:rPr>
        <w:t>Model paragraph and source reference</w:t>
      </w:r>
    </w:p>
    <w:p>
      <w:pPr>
        <w:spacing w:before="0" w:after="160" w:line="259" w:lineRule="auto"/>
      </w:pPr>
      <w:r>
        <w:rPr>
          <w:rFonts w:ascii="Arial" w:hAnsi="Arial" w:eastAsia="Arial"/>
          <w:b w:val="0"/>
          <w:i w:val="0"/>
          <w:color w:val="53606B"/>
          <w:sz w:val="22"/>
        </w:rPr>
        <w:t>A concise model of evidence-led analysis.</w:t>
      </w:r>
    </w:p>
    <w:p>
      <w:pPr>
        <w:pStyle w:val="Heading1"/>
        <w:spacing w:before="200" w:after="80" w:line="240" w:lineRule="auto"/>
        <w:jc w:val="left"/>
      </w:pPr>
      <w:r>
        <w:rPr>
          <w:rFonts w:ascii="Arial" w:hAnsi="Arial" w:eastAsia="Arial"/>
          <w:b/>
          <w:color w:val="183A5A"/>
          <w:sz w:val="30"/>
        </w:rPr>
        <w:t>Model OCR-style paragraph</w:t>
      </w:r>
    </w:p>
    <w:tbl>
      <w:tblPr>
        <w:tblW w:type="auto" w:w="0"/>
        <w:jc w:val="center"/>
        <w:tblLook w:firstColumn="1" w:firstRow="1" w:lastColumn="0" w:lastRow="0" w:noHBand="0" w:noVBand="1" w:val="04A0"/>
      </w:tblPr>
      <w:tblGrid>
        <w:gridCol w:w="10037"/>
      </w:tblGrid>
      <w:tr>
        <w:tc>
          <w:tcPr>
            <w:tcW w:type="dxa" w:w="10037"/>
            <w:shd w:fill="EEF4F8"/>
            <w:tcMar>
              <w:top w:w="120" w:type="dxa"/>
              <w:start w:w="140" w:type="dxa"/>
              <w:bottom w:w="120" w:type="dxa"/>
              <w:end w:w="140" w:type="dxa"/>
            </w:tcMar>
            <w:tcBorders>
              <w:top w:val="single" w:sz="10" w:color="183A5A"/>
              <w:left w:val="single" w:sz="10" w:color="183A5A"/>
              <w:bottom w:val="single" w:sz="10" w:color="183A5A"/>
              <w:right w:val="single" w:sz="10" w:color="183A5A"/>
            </w:tcBorders>
          </w:tcPr>
          <w:p>
            <w:pPr>
              <w:spacing w:before="0" w:after="80" w:line="259" w:lineRule="auto"/>
            </w:pPr>
            <w:r>
              <w:rPr>
                <w:rFonts w:ascii="Arial" w:hAnsi="Arial" w:eastAsia="Arial"/>
                <w:b/>
                <w:i w:val="0"/>
                <w:color w:val="183A5A"/>
                <w:sz w:val="21"/>
              </w:rPr>
              <w:t>Model response</w:t>
            </w:r>
          </w:p>
          <w:p>
            <w:pPr>
              <w:spacing w:before="0" w:after="40" w:line="259" w:lineRule="auto"/>
            </w:pPr>
            <w:r>
              <w:rPr>
                <w:rFonts w:ascii="Arial" w:hAnsi="Arial" w:eastAsia="Arial"/>
                <w:b w:val="0"/>
                <w:i w:val="0"/>
                <w:color w:val="1D2A35"/>
                <w:sz w:val="19"/>
              </w:rPr>
              <w:t>Wealth inequality can reproduce social class inequality because assets give some families security and opportunities that are unavailable to others. Mullineux and Rowlingson (2013) argued that wealth was distributed much more unequally than income, reporting that in 2008-10 the top tenth held an overall share of wealth more than 850 times that of the bottom tenth. This matters because families with savings, property or investments can help children with university costs, rent or a house deposit. As a result, young people from wealthier homes may have lower debt, more stable housing and more freedom to take educational or employment opportunities. This supports Weber’s idea that class shapes life chances, since people with greater economic resources have wider choices and greater security. It also challenges meritocracy because inherited advantage can influence outcomes before an individual has had the opportunity to demonstrate effort or ability.</w:t>
            </w:r>
          </w:p>
        </w:tc>
      </w:tr>
    </w:tbl>
    <w:p>
      <w:pPr>
        <w:pStyle w:val="Heading1"/>
        <w:spacing w:before="200" w:after="80" w:line="240" w:lineRule="auto"/>
        <w:jc w:val="left"/>
      </w:pPr>
      <w:r>
        <w:rPr>
          <w:rFonts w:ascii="Arial" w:hAnsi="Arial" w:eastAsia="Arial"/>
          <w:b/>
          <w:color w:val="183A5A"/>
          <w:sz w:val="30"/>
        </w:rPr>
        <w:t>Evaluation points</w:t>
      </w:r>
    </w:p>
    <w:p>
      <w:pPr>
        <w:pStyle w:val="ListBullet"/>
        <w:spacing w:before="0" w:after="40" w:line="252" w:lineRule="auto"/>
      </w:pPr>
      <w:r>
        <w:rPr>
          <w:rFonts w:ascii="Arial" w:hAnsi="Arial" w:eastAsia="Arial"/>
          <w:b w:val="0"/>
          <w:i w:val="0"/>
          <w:color w:val="1D2A35"/>
          <w:sz w:val="20"/>
        </w:rPr>
        <w:t>Strength: the report helps students distinguish income inequality from wealth inequality, making its explanation of class advantage more sophisticated.</w:t>
      </w:r>
    </w:p>
    <w:p>
      <w:pPr>
        <w:pStyle w:val="ListBullet"/>
        <w:spacing w:before="0" w:after="40" w:line="252" w:lineRule="auto"/>
      </w:pPr>
      <w:r>
        <w:rPr>
          <w:rFonts w:ascii="Arial" w:hAnsi="Arial" w:eastAsia="Arial"/>
          <w:b w:val="0"/>
          <w:i w:val="0"/>
          <w:color w:val="1D2A35"/>
          <w:sz w:val="20"/>
        </w:rPr>
        <w:t>Strength: it connects wealth to concrete life chances such as housing, debt, education, employment and family support.</w:t>
      </w:r>
    </w:p>
    <w:p>
      <w:pPr>
        <w:pStyle w:val="ListBullet"/>
        <w:spacing w:before="0" w:after="40" w:line="252" w:lineRule="auto"/>
      </w:pPr>
      <w:r>
        <w:rPr>
          <w:rFonts w:ascii="Arial" w:hAnsi="Arial" w:eastAsia="Arial"/>
          <w:b w:val="0"/>
          <w:i w:val="0"/>
          <w:color w:val="1D2A35"/>
          <w:sz w:val="20"/>
        </w:rPr>
        <w:t>Limitation: this is a policy commission report that brings together evidence from different sources. It is not a single primary sociological study designed to prove a direct causal relationship.</w:t>
      </w:r>
    </w:p>
    <w:p>
      <w:pPr>
        <w:pStyle w:val="ListBullet"/>
        <w:spacing w:before="0" w:after="40" w:line="252" w:lineRule="auto"/>
      </w:pPr>
      <w:r>
        <w:rPr>
          <w:rFonts w:ascii="Arial" w:hAnsi="Arial" w:eastAsia="Arial"/>
          <w:b w:val="0"/>
          <w:i w:val="0"/>
          <w:color w:val="1D2A35"/>
          <w:sz w:val="20"/>
        </w:rPr>
        <w:t>Limitation: the headline statistics relate to 2008-10. Use them as evidence of the report’s findings rather than as a claim about the current distribution of wealth.</w:t>
      </w:r>
    </w:p>
    <w:p>
      <w:pPr>
        <w:pStyle w:val="ListBullet"/>
        <w:spacing w:before="0" w:after="40" w:line="252" w:lineRule="auto"/>
      </w:pPr>
      <w:r>
        <w:rPr>
          <w:rFonts w:ascii="Arial" w:hAnsi="Arial" w:eastAsia="Arial"/>
          <w:b w:val="0"/>
          <w:i w:val="0"/>
          <w:color w:val="1D2A35"/>
          <w:sz w:val="20"/>
        </w:rPr>
        <w:t>Limitation: the report notes gaps in knowledge about the “super rich”, whose wealth can be difficult to measure accurately.</w:t>
      </w:r>
    </w:p>
    <w:p>
      <w:pPr>
        <w:pStyle w:val="ListBullet"/>
        <w:spacing w:before="0" w:after="40" w:line="252" w:lineRule="auto"/>
      </w:pPr>
      <w:r>
        <w:rPr>
          <w:rFonts w:ascii="Arial" w:hAnsi="Arial" w:eastAsia="Arial"/>
          <w:b w:val="0"/>
          <w:i w:val="0"/>
          <w:color w:val="1D2A35"/>
          <w:sz w:val="20"/>
        </w:rPr>
        <w:t>Counterpoint: some wealth may reflect saving, higher skills, work or successful investment. A sociological response is that the capacity to save and take risks is itself shaped by unequal starting positions.</w:t>
      </w:r>
    </w:p>
    <w:p>
      <w:pPr>
        <w:pStyle w:val="Heading1"/>
        <w:spacing w:before="200" w:after="80" w:line="240" w:lineRule="auto"/>
        <w:jc w:val="left"/>
      </w:pPr>
      <w:r>
        <w:rPr>
          <w:rFonts w:ascii="Arial" w:hAnsi="Arial" w:eastAsia="Arial"/>
          <w:b/>
          <w:color w:val="183A5A"/>
          <w:sz w:val="30"/>
        </w:rPr>
        <w:t>Source reference and original report</w:t>
      </w:r>
    </w:p>
    <w:p>
      <w:pPr>
        <w:spacing w:before="0" w:after="80" w:line="259" w:lineRule="auto"/>
      </w:pPr>
      <w:r>
        <w:rPr>
          <w:rFonts w:ascii="Arial" w:hAnsi="Arial" w:eastAsia="Arial"/>
          <w:b/>
          <w:i w:val="0"/>
          <w:color w:val="183A5A"/>
          <w:sz w:val="19"/>
        </w:rPr>
        <w:t xml:space="preserve">Mullineux, A. and Rowlingson, K. (2013) </w:t>
      </w:r>
      <w:r>
        <w:rPr>
          <w:rFonts w:ascii="Arial" w:hAnsi="Arial" w:eastAsia="Arial"/>
          <w:b w:val="0"/>
          <w:i w:val="0"/>
          <w:color w:val="1D2A35"/>
          <w:sz w:val="19"/>
        </w:rPr>
        <w:t>Sharing Our Good Fortune: Understanding and Responding to Wealth Inequalities. Birmingham Policy Commission on the Distribution of Wealth, University of Birmingham.</w:t>
      </w:r>
    </w:p>
    <w:p>
      <w:pPr>
        <w:spacing w:before="0" w:after="80" w:line="259" w:lineRule="auto"/>
      </w:pPr>
      <w:hyperlink r:id="rId10">
        <w:r>
          <w:rPr>
            <w:color w:val="2D7D7B"/>
            <w:u w:val="single"/>
            <w:b/>
          </w:rPr>
          <w:t>Open the original full report (University of Birmingham PDF)</w:t>
        </w:r>
      </w:hyperlink>
    </w:p>
    <w:p>
      <w:pPr>
        <w:spacing w:before="0" w:after="80" w:line="259" w:lineRule="auto"/>
      </w:pPr>
      <w:hyperlink r:id="rId11">
        <w:r>
          <w:rPr>
            <w:color w:val="2D7D7B"/>
            <w:u w:val="single"/>
          </w:rPr>
          <w:t>Open the repository record (Bournemouth University)</w:t>
        </w:r>
      </w:hyperlink>
    </w:p>
    <w:p>
      <w:pPr>
        <w:spacing w:before="40" w:after="120" w:line="240" w:lineRule="auto"/>
      </w:pPr>
      <w:r>
        <w:rPr>
          <w:rFonts w:ascii="Arial" w:hAnsi="Arial" w:eastAsia="Arial"/>
          <w:b w:val="0"/>
          <w:i/>
          <w:color w:val="59636D"/>
          <w:sz w:val="16"/>
        </w:rPr>
        <w:t>Citation note: classroom resources sometimes reverse the authors’ surnames. The publication is formally cited as Mullineux and Rowlingson (2013).</w:t>
      </w:r>
    </w:p>
    <w:p>
      <w:pPr>
        <w:pStyle w:val="Heading1"/>
        <w:spacing w:before="200" w:after="80" w:line="240" w:lineRule="auto"/>
        <w:jc w:val="left"/>
      </w:pPr>
      <w:r>
        <w:rPr>
          <w:rFonts w:ascii="Arial" w:hAnsi="Arial" w:eastAsia="Arial"/>
          <w:b/>
          <w:color w:val="183A5A"/>
          <w:sz w:val="30"/>
        </w:rPr>
        <w:t>Optional homework</w:t>
      </w:r>
    </w:p>
    <w:p>
      <w:pPr>
        <w:spacing w:before="0" w:after="80" w:line="259" w:lineRule="auto"/>
      </w:pPr>
      <w:r>
        <w:rPr>
          <w:rFonts w:ascii="Arial" w:hAnsi="Arial" w:eastAsia="Arial"/>
          <w:b w:val="0"/>
          <w:i w:val="0"/>
          <w:color w:val="1D2A35"/>
          <w:sz w:val="20"/>
        </w:rPr>
        <w:t xml:space="preserve">Read the executive summary or selected pages of the original report. Write a 250-word answer to: </w:t>
      </w:r>
      <w:r>
        <w:rPr>
          <w:rFonts w:ascii="Arial" w:hAnsi="Arial" w:eastAsia="Arial"/>
          <w:b/>
          <w:i w:val="0"/>
          <w:color w:val="183A5A"/>
          <w:sz w:val="20"/>
        </w:rPr>
        <w:t>“Assess the view that wealth inequality is more important than income inequality in explaining social class differences in life chances.”</w:t>
      </w:r>
    </w:p>
    <w:sectPr w:rsidR="00FC693F" w:rsidRPr="0006063C" w:rsidSect="00034616">
      <w:footerReference w:type="default" r:id="rId9"/>
      <w:pgSz w:w="11909" w:h="16834"/>
      <w:pgMar w:top="864" w:right="936" w:bottom="864" w:left="936" w:header="360"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59" w:lineRule="auto"/>
      <w:jc w:val="center"/>
    </w:pPr>
    <w:r>
      <w:rPr>
        <w:rFonts w:ascii="Arial" w:hAnsi="Arial" w:eastAsia="Arial"/>
        <w:b w:val="0"/>
        <w:i w:val="0"/>
        <w:color w:val="5D6870"/>
        <w:sz w:val="16"/>
      </w:rPr>
      <w:t>The Sociology Guy  |  Cambridge OCR A Level Sociology  |  Understanding Social Inequalities</w:t>
    </w:r>
    <w:r>
      <w:t xml:space="preserv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eastAsia="Arial"/>
      <w:color w:val="1D2A3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83A5A"/>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83A5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83A5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sz w:val="20"/>
    </w:rPr>
  </w:style>
  <w:style w:type="paragraph" w:styleId="ListBullet2">
    <w:name w:val="List Bullet 2"/>
    <w:basedOn w:val="Normal"/>
    <w:uiPriority w:val="99"/>
    <w:unhideWhenUsed/>
    <w:rsid w:val="00326F90"/>
    <w:pPr>
      <w:numPr>
        <w:numId w:val="2"/>
      </w:numPr>
      <w:contextualSpacing/>
    </w:pPr>
    <w:rPr>
      <w:rFonts w:ascii="Arial" w:hAnsi="Arial" w:eastAsia="Arial"/>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birmingham.ac.uk/Documents/research/policycommission/BPCIV-Distribution-of-wealthfull-report.pdf" TargetMode="External"/><Relationship Id="rId11" Type="http://schemas.openxmlformats.org/officeDocument/2006/relationships/hyperlink" Target="https://eprints.bournemouth.ac.uk/21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Wealth, Inheritance and Life Chances - Cambridge OCR A Level Sociology</dc:title>
  <dc:subject>Understanding Social Inequalities Component B lesson resource</dc:subject>
  <dc:creator>The Sociology Guy</dc:creator>
  <cp:keywords/>
  <dc:description>Classroom lesson pack based on Mullineux and Rowlingson (2013).</dc:description>
  <cp:lastModifiedBy/>
  <cp:revision>1</cp:revision>
  <dcterms:created xsi:type="dcterms:W3CDTF">2013-12-23T23:15:00Z</dcterms:created>
  <dcterms:modified xsi:type="dcterms:W3CDTF">2013-12-23T23:15:00Z</dcterms:modified>
  <cp:category/>
</cp:coreProperties>
</file>